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5F" w:rsidRPr="006828AE" w:rsidRDefault="00A53B00" w:rsidP="00751132">
      <w:pPr>
        <w:jc w:val="center"/>
        <w:rPr>
          <w:rFonts w:cs="Times New Roman"/>
          <w:b/>
          <w:szCs w:val="24"/>
        </w:rPr>
      </w:pPr>
      <w:r w:rsidRPr="006828AE">
        <w:rPr>
          <w:rFonts w:cs="Times New Roman"/>
          <w:b/>
          <w:szCs w:val="24"/>
        </w:rPr>
        <w:t>T</w:t>
      </w:r>
      <w:r w:rsidR="00ED275F" w:rsidRPr="006828AE">
        <w:rPr>
          <w:rFonts w:cs="Times New Roman"/>
          <w:b/>
          <w:szCs w:val="24"/>
        </w:rPr>
        <w:t>he Systemic Financial Importance of Emerging Powers</w:t>
      </w:r>
    </w:p>
    <w:p w:rsidR="00ED275F" w:rsidRPr="006828AE" w:rsidRDefault="00ED275F" w:rsidP="00751132">
      <w:pPr>
        <w:jc w:val="center"/>
        <w:rPr>
          <w:rFonts w:cs="Times New Roman"/>
          <w:szCs w:val="24"/>
        </w:rPr>
      </w:pPr>
    </w:p>
    <w:p w:rsidR="00ED275F" w:rsidRPr="006828AE" w:rsidRDefault="00ED275F" w:rsidP="00751132">
      <w:pPr>
        <w:jc w:val="center"/>
        <w:rPr>
          <w:rFonts w:cs="Times New Roman"/>
          <w:szCs w:val="24"/>
          <w:lang w:val="de-DE"/>
        </w:rPr>
      </w:pPr>
      <w:r w:rsidRPr="006828AE">
        <w:rPr>
          <w:rFonts w:cs="Times New Roman"/>
          <w:szCs w:val="24"/>
          <w:lang w:val="de-DE"/>
        </w:rPr>
        <w:t>Leslie Elliott Armijo (Portland State University)</w:t>
      </w:r>
      <w:r w:rsidR="003A253E" w:rsidRPr="006828AE">
        <w:rPr>
          <w:rFonts w:cs="Times New Roman"/>
          <w:szCs w:val="24"/>
          <w:lang w:val="de-DE"/>
        </w:rPr>
        <w:t xml:space="preserve">; </w:t>
      </w:r>
      <w:r w:rsidRPr="006828AE">
        <w:rPr>
          <w:rFonts w:cs="Times New Roman"/>
          <w:szCs w:val="24"/>
          <w:lang w:val="de-DE"/>
        </w:rPr>
        <w:t>Laurissa Mühlich (Freie Universität Berlin)</w:t>
      </w:r>
      <w:r w:rsidR="003A253E" w:rsidRPr="006828AE">
        <w:rPr>
          <w:rFonts w:cs="Times New Roman"/>
          <w:szCs w:val="24"/>
          <w:lang w:val="de-DE"/>
        </w:rPr>
        <w:t>;</w:t>
      </w:r>
    </w:p>
    <w:p w:rsidR="00ED275F" w:rsidRPr="006828AE" w:rsidRDefault="00ED275F" w:rsidP="00751132">
      <w:pPr>
        <w:jc w:val="center"/>
        <w:rPr>
          <w:rFonts w:cs="Times New Roman"/>
          <w:szCs w:val="24"/>
        </w:rPr>
      </w:pPr>
      <w:r w:rsidRPr="006828AE">
        <w:rPr>
          <w:rFonts w:cs="Times New Roman"/>
          <w:szCs w:val="24"/>
        </w:rPr>
        <w:t xml:space="preserve">Daniel </w:t>
      </w:r>
      <w:r w:rsidR="00E82681" w:rsidRPr="006828AE">
        <w:rPr>
          <w:rFonts w:cs="Times New Roman"/>
          <w:szCs w:val="24"/>
        </w:rPr>
        <w:t>C. Tirone (Lou</w:t>
      </w:r>
      <w:r w:rsidRPr="006828AE">
        <w:rPr>
          <w:rFonts w:cs="Times New Roman"/>
          <w:szCs w:val="24"/>
        </w:rPr>
        <w:t>isiana State University)</w:t>
      </w:r>
    </w:p>
    <w:p w:rsidR="003A253E" w:rsidRPr="006828AE" w:rsidRDefault="003A253E" w:rsidP="00751132">
      <w:pPr>
        <w:jc w:val="center"/>
        <w:rPr>
          <w:rFonts w:cs="Times New Roman"/>
          <w:szCs w:val="24"/>
        </w:rPr>
      </w:pPr>
    </w:p>
    <w:p w:rsidR="00B57475" w:rsidRDefault="006828AE" w:rsidP="00751132">
      <w:pPr>
        <w:jc w:val="center"/>
        <w:rPr>
          <w:rFonts w:cs="Times New Roman"/>
          <w:szCs w:val="24"/>
        </w:rPr>
      </w:pPr>
      <w:r>
        <w:rPr>
          <w:rFonts w:cs="Times New Roman"/>
          <w:szCs w:val="24"/>
        </w:rPr>
        <w:t>Version of August 15</w:t>
      </w:r>
      <w:r w:rsidR="00A94E6B" w:rsidRPr="006828AE">
        <w:rPr>
          <w:rFonts w:cs="Times New Roman"/>
          <w:szCs w:val="24"/>
        </w:rPr>
        <w:t>, 2013</w:t>
      </w:r>
    </w:p>
    <w:p w:rsidR="000D7B34" w:rsidRDefault="000D7B34" w:rsidP="00751132">
      <w:pPr>
        <w:jc w:val="center"/>
        <w:rPr>
          <w:rFonts w:cs="Times New Roman"/>
          <w:szCs w:val="24"/>
        </w:rPr>
      </w:pPr>
    </w:p>
    <w:p w:rsidR="000D7B34" w:rsidRPr="006A37CB" w:rsidRDefault="000D7B34" w:rsidP="00751132">
      <w:pPr>
        <w:jc w:val="center"/>
        <w:rPr>
          <w:rFonts w:cs="Times New Roman"/>
          <w:szCs w:val="24"/>
        </w:rPr>
      </w:pPr>
      <w:r>
        <w:rPr>
          <w:rFonts w:cs="Times New Roman"/>
          <w:szCs w:val="24"/>
        </w:rPr>
        <w:t xml:space="preserve">Forthcoming in the </w:t>
      </w:r>
      <w:r>
        <w:rPr>
          <w:rFonts w:cs="Times New Roman"/>
          <w:i/>
          <w:szCs w:val="24"/>
        </w:rPr>
        <w:t>Journal of Policy Modeling</w:t>
      </w:r>
    </w:p>
    <w:p w:rsidR="00A94E6B" w:rsidRPr="006828AE" w:rsidRDefault="00A94E6B" w:rsidP="00751132">
      <w:pPr>
        <w:jc w:val="center"/>
        <w:rPr>
          <w:rFonts w:cs="Times New Roman"/>
          <w:szCs w:val="24"/>
        </w:rPr>
      </w:pPr>
    </w:p>
    <w:p w:rsidR="00ED275F" w:rsidRPr="006828AE" w:rsidRDefault="00291E81" w:rsidP="00751132">
      <w:pPr>
        <w:jc w:val="center"/>
        <w:rPr>
          <w:rFonts w:cs="Times New Roman"/>
          <w:b/>
          <w:szCs w:val="24"/>
        </w:rPr>
      </w:pPr>
      <w:r w:rsidRPr="006828AE">
        <w:rPr>
          <w:rFonts w:cs="Times New Roman"/>
          <w:b/>
          <w:szCs w:val="24"/>
        </w:rPr>
        <w:t>A</w:t>
      </w:r>
      <w:r w:rsidR="00ED275F" w:rsidRPr="006828AE">
        <w:rPr>
          <w:rFonts w:cs="Times New Roman"/>
          <w:b/>
          <w:szCs w:val="24"/>
        </w:rPr>
        <w:t>bstract</w:t>
      </w:r>
    </w:p>
    <w:p w:rsidR="00ED275F" w:rsidRPr="006828AE" w:rsidRDefault="00ED275F" w:rsidP="00751132">
      <w:pPr>
        <w:rPr>
          <w:rFonts w:cs="Times New Roman"/>
          <w:szCs w:val="24"/>
        </w:rPr>
      </w:pPr>
    </w:p>
    <w:p w:rsidR="006A745A" w:rsidRPr="006828AE" w:rsidRDefault="00C23355" w:rsidP="00751132">
      <w:pPr>
        <w:jc w:val="both"/>
        <w:rPr>
          <w:rFonts w:cs="Times New Roman"/>
          <w:i/>
          <w:szCs w:val="24"/>
        </w:rPr>
      </w:pPr>
      <w:r w:rsidRPr="006828AE">
        <w:rPr>
          <w:rFonts w:cs="Times New Roman"/>
          <w:szCs w:val="24"/>
        </w:rPr>
        <w:t>E</w:t>
      </w:r>
      <w:r w:rsidR="00884F2A" w:rsidRPr="006828AE">
        <w:rPr>
          <w:rFonts w:cs="Times New Roman"/>
          <w:szCs w:val="24"/>
        </w:rPr>
        <w:t xml:space="preserve">conomic turmoil in advanced industrial economies since the 2008-9 </w:t>
      </w:r>
      <w:r w:rsidR="003B1CD4" w:rsidRPr="006828AE">
        <w:rPr>
          <w:rFonts w:cs="Times New Roman"/>
          <w:szCs w:val="24"/>
        </w:rPr>
        <w:t xml:space="preserve">crisis </w:t>
      </w:r>
      <w:r w:rsidR="00884F2A" w:rsidRPr="006828AE">
        <w:rPr>
          <w:rFonts w:cs="Times New Roman"/>
          <w:szCs w:val="24"/>
        </w:rPr>
        <w:t xml:space="preserve">has intensified </w:t>
      </w:r>
      <w:r w:rsidR="00047E31" w:rsidRPr="006828AE">
        <w:rPr>
          <w:rFonts w:cs="Times New Roman"/>
          <w:szCs w:val="24"/>
        </w:rPr>
        <w:t>perception</w:t>
      </w:r>
      <w:r w:rsidR="007E33D3" w:rsidRPr="006828AE">
        <w:rPr>
          <w:rFonts w:cs="Times New Roman"/>
          <w:szCs w:val="24"/>
        </w:rPr>
        <w:t>s</w:t>
      </w:r>
      <w:r w:rsidR="00047E31" w:rsidRPr="006828AE">
        <w:rPr>
          <w:rFonts w:cs="Times New Roman"/>
          <w:szCs w:val="24"/>
        </w:rPr>
        <w:t xml:space="preserve"> </w:t>
      </w:r>
      <w:r w:rsidR="00D62E35" w:rsidRPr="006828AE">
        <w:rPr>
          <w:rFonts w:cs="Times New Roman"/>
          <w:szCs w:val="24"/>
        </w:rPr>
        <w:t xml:space="preserve">of </w:t>
      </w:r>
      <w:r w:rsidR="00A53B00" w:rsidRPr="006828AE">
        <w:rPr>
          <w:rFonts w:cs="Times New Roman"/>
          <w:szCs w:val="24"/>
        </w:rPr>
        <w:t xml:space="preserve">rising </w:t>
      </w:r>
      <w:r w:rsidR="00D62E35" w:rsidRPr="006828AE">
        <w:rPr>
          <w:rFonts w:cs="Times New Roman"/>
          <w:szCs w:val="24"/>
        </w:rPr>
        <w:t>global multipolarity</w:t>
      </w:r>
      <w:r w:rsidR="00A53B00" w:rsidRPr="006828AE">
        <w:rPr>
          <w:rFonts w:cs="Times New Roman"/>
          <w:szCs w:val="24"/>
        </w:rPr>
        <w:t>.</w:t>
      </w:r>
      <w:r w:rsidR="00EC4EB6" w:rsidRPr="006828AE">
        <w:rPr>
          <w:rFonts w:cs="Times New Roman"/>
          <w:szCs w:val="24"/>
        </w:rPr>
        <w:t xml:space="preserve"> </w:t>
      </w:r>
      <w:r w:rsidR="00A6537D" w:rsidRPr="006828AE">
        <w:rPr>
          <w:rFonts w:cs="Times New Roman"/>
          <w:szCs w:val="24"/>
        </w:rPr>
        <w:t>S</w:t>
      </w:r>
      <w:r w:rsidR="00ED275F" w:rsidRPr="006828AE">
        <w:rPr>
          <w:rFonts w:cs="Times New Roman"/>
          <w:szCs w:val="24"/>
        </w:rPr>
        <w:t xml:space="preserve">everal indices of the </w:t>
      </w:r>
      <w:r w:rsidR="00A53B00" w:rsidRPr="006828AE">
        <w:rPr>
          <w:rFonts w:cs="Times New Roman"/>
          <w:szCs w:val="24"/>
        </w:rPr>
        <w:t xml:space="preserve">relative </w:t>
      </w:r>
      <w:r w:rsidR="00ED275F" w:rsidRPr="006828AE">
        <w:rPr>
          <w:rFonts w:cs="Times New Roman"/>
          <w:szCs w:val="24"/>
        </w:rPr>
        <w:t xml:space="preserve">material capabilities of </w:t>
      </w:r>
      <w:r w:rsidR="002D0AD3" w:rsidRPr="006828AE">
        <w:rPr>
          <w:rFonts w:cs="Times New Roman"/>
          <w:szCs w:val="24"/>
        </w:rPr>
        <w:t xml:space="preserve">countries </w:t>
      </w:r>
      <w:r w:rsidR="00F44986" w:rsidRPr="006828AE">
        <w:rPr>
          <w:rFonts w:cs="Times New Roman"/>
          <w:szCs w:val="24"/>
        </w:rPr>
        <w:t>exist</w:t>
      </w:r>
      <w:r w:rsidR="00ED275F" w:rsidRPr="006828AE">
        <w:rPr>
          <w:rFonts w:cs="Times New Roman"/>
          <w:szCs w:val="24"/>
        </w:rPr>
        <w:t xml:space="preserve">, </w:t>
      </w:r>
      <w:r w:rsidR="00A6537D" w:rsidRPr="006828AE">
        <w:rPr>
          <w:rFonts w:cs="Times New Roman"/>
          <w:szCs w:val="24"/>
        </w:rPr>
        <w:t>yet few</w:t>
      </w:r>
      <w:r w:rsidR="00047E31" w:rsidRPr="006828AE">
        <w:rPr>
          <w:rFonts w:cs="Times New Roman"/>
          <w:szCs w:val="24"/>
        </w:rPr>
        <w:t xml:space="preserve"> address </w:t>
      </w:r>
      <w:r w:rsidR="00ED275F" w:rsidRPr="006828AE">
        <w:rPr>
          <w:rFonts w:cs="Times New Roman"/>
          <w:szCs w:val="24"/>
        </w:rPr>
        <w:t xml:space="preserve">a state’s potential for </w:t>
      </w:r>
      <w:r w:rsidR="00A94E6B" w:rsidRPr="006828AE">
        <w:rPr>
          <w:rFonts w:cs="Times New Roman"/>
          <w:szCs w:val="24"/>
        </w:rPr>
        <w:t xml:space="preserve">financial </w:t>
      </w:r>
      <w:r w:rsidR="00EC4EB6" w:rsidRPr="006828AE">
        <w:rPr>
          <w:rFonts w:cs="Times New Roman"/>
          <w:szCs w:val="24"/>
        </w:rPr>
        <w:t>influence</w:t>
      </w:r>
      <w:r w:rsidR="003B1CD4" w:rsidRPr="006828AE">
        <w:rPr>
          <w:rFonts w:cs="Times New Roman"/>
          <w:szCs w:val="24"/>
        </w:rPr>
        <w:t xml:space="preserve"> abroad</w:t>
      </w:r>
      <w:r w:rsidR="00EC4EB6" w:rsidRPr="006828AE">
        <w:rPr>
          <w:rFonts w:cs="Times New Roman"/>
          <w:szCs w:val="24"/>
        </w:rPr>
        <w:t xml:space="preserve">. </w:t>
      </w:r>
      <w:r w:rsidR="00222FA3" w:rsidRPr="006828AE">
        <w:rPr>
          <w:rFonts w:cs="Times New Roman"/>
          <w:szCs w:val="24"/>
        </w:rPr>
        <w:t>W</w:t>
      </w:r>
      <w:r w:rsidR="006A745A" w:rsidRPr="006828AE">
        <w:rPr>
          <w:rFonts w:cs="Times New Roman"/>
          <w:szCs w:val="24"/>
        </w:rPr>
        <w:t xml:space="preserve">e </w:t>
      </w:r>
      <w:r w:rsidRPr="006828AE">
        <w:rPr>
          <w:rFonts w:cs="Times New Roman"/>
          <w:szCs w:val="24"/>
        </w:rPr>
        <w:t>analyze</w:t>
      </w:r>
      <w:r w:rsidR="00D62E35" w:rsidRPr="006828AE">
        <w:rPr>
          <w:rFonts w:cs="Times New Roman"/>
          <w:szCs w:val="24"/>
        </w:rPr>
        <w:t xml:space="preserve"> </w:t>
      </w:r>
      <w:r w:rsidR="003B1CD4" w:rsidRPr="006828AE">
        <w:rPr>
          <w:rFonts w:cs="Times New Roman"/>
          <w:szCs w:val="24"/>
        </w:rPr>
        <w:t xml:space="preserve">indicators of a country’s importance as </w:t>
      </w:r>
      <w:r w:rsidR="002D0AD3" w:rsidRPr="006828AE">
        <w:rPr>
          <w:rFonts w:cs="Times New Roman"/>
          <w:szCs w:val="24"/>
        </w:rPr>
        <w:t xml:space="preserve">a financial asset </w:t>
      </w:r>
      <w:r w:rsidR="003B1CD4" w:rsidRPr="006828AE">
        <w:rPr>
          <w:rFonts w:cs="Times New Roman"/>
          <w:szCs w:val="24"/>
        </w:rPr>
        <w:t xml:space="preserve">owner and participant in globalized </w:t>
      </w:r>
      <w:r w:rsidR="002D0AD3" w:rsidRPr="006828AE">
        <w:rPr>
          <w:rFonts w:cs="Times New Roman"/>
          <w:szCs w:val="24"/>
        </w:rPr>
        <w:t xml:space="preserve">financial </w:t>
      </w:r>
      <w:r w:rsidR="003B1CD4" w:rsidRPr="006828AE">
        <w:rPr>
          <w:rFonts w:cs="Times New Roman"/>
          <w:szCs w:val="24"/>
        </w:rPr>
        <w:t>markets, examining</w:t>
      </w:r>
      <w:r w:rsidRPr="006828AE">
        <w:rPr>
          <w:rFonts w:cs="Times New Roman"/>
          <w:szCs w:val="24"/>
        </w:rPr>
        <w:t xml:space="preserve"> 180 countries</w:t>
      </w:r>
      <w:r w:rsidR="003B1CD4" w:rsidRPr="006828AE">
        <w:rPr>
          <w:rFonts w:cs="Times New Roman"/>
          <w:szCs w:val="24"/>
        </w:rPr>
        <w:t xml:space="preserve"> during</w:t>
      </w:r>
      <w:r w:rsidRPr="006828AE">
        <w:rPr>
          <w:rFonts w:cs="Times New Roman"/>
          <w:szCs w:val="24"/>
        </w:rPr>
        <w:t xml:space="preserve"> </w:t>
      </w:r>
      <w:r w:rsidR="00A53B00" w:rsidRPr="006828AE">
        <w:rPr>
          <w:rFonts w:cs="Times New Roman"/>
          <w:szCs w:val="24"/>
        </w:rPr>
        <w:t>1995-</w:t>
      </w:r>
      <w:r w:rsidRPr="006828AE">
        <w:rPr>
          <w:rFonts w:cs="Times New Roman"/>
          <w:szCs w:val="24"/>
        </w:rPr>
        <w:t>2010</w:t>
      </w:r>
      <w:r w:rsidR="00D62E35" w:rsidRPr="006828AE">
        <w:rPr>
          <w:rFonts w:cs="Times New Roman"/>
          <w:szCs w:val="24"/>
        </w:rPr>
        <w:t xml:space="preserve">. </w:t>
      </w:r>
      <w:r w:rsidR="00B522EF" w:rsidRPr="006828AE">
        <w:rPr>
          <w:rFonts w:cs="Times New Roman"/>
          <w:szCs w:val="24"/>
        </w:rPr>
        <w:t>The</w:t>
      </w:r>
      <w:r w:rsidR="003B1CD4" w:rsidRPr="006828AE">
        <w:rPr>
          <w:rFonts w:cs="Times New Roman"/>
          <w:szCs w:val="24"/>
        </w:rPr>
        <w:t xml:space="preserve"> United States displays a high and stable </w:t>
      </w:r>
      <w:r w:rsidR="00A53B00" w:rsidRPr="006828AE">
        <w:rPr>
          <w:rFonts w:cs="Times New Roman"/>
          <w:szCs w:val="24"/>
        </w:rPr>
        <w:t xml:space="preserve">systemic </w:t>
      </w:r>
      <w:r w:rsidR="003B1CD4" w:rsidRPr="006828AE">
        <w:rPr>
          <w:rFonts w:cs="Times New Roman"/>
          <w:szCs w:val="24"/>
        </w:rPr>
        <w:t>importance</w:t>
      </w:r>
      <w:r w:rsidR="00390F0E" w:rsidRPr="006828AE">
        <w:rPr>
          <w:rFonts w:cs="Times New Roman"/>
          <w:szCs w:val="24"/>
        </w:rPr>
        <w:t>.</w:t>
      </w:r>
      <w:r w:rsidR="00B2252D" w:rsidRPr="006828AE">
        <w:rPr>
          <w:rFonts w:cs="Times New Roman"/>
          <w:szCs w:val="24"/>
        </w:rPr>
        <w:t xml:space="preserve"> </w:t>
      </w:r>
      <w:r w:rsidR="002D0AD3" w:rsidRPr="006828AE">
        <w:rPr>
          <w:rFonts w:cs="Times New Roman"/>
          <w:szCs w:val="24"/>
        </w:rPr>
        <w:t>A</w:t>
      </w:r>
      <w:r w:rsidR="00A817BC" w:rsidRPr="006828AE">
        <w:rPr>
          <w:rFonts w:cs="Times New Roman"/>
          <w:szCs w:val="24"/>
        </w:rPr>
        <w:t>n</w:t>
      </w:r>
      <w:r w:rsidR="00A53B00" w:rsidRPr="006828AE">
        <w:rPr>
          <w:rFonts w:cs="Times New Roman"/>
          <w:szCs w:val="24"/>
        </w:rPr>
        <w:t xml:space="preserve"> increase in </w:t>
      </w:r>
      <w:r w:rsidR="00390F0E" w:rsidRPr="006828AE">
        <w:rPr>
          <w:rFonts w:cs="Times New Roman"/>
          <w:szCs w:val="24"/>
        </w:rPr>
        <w:t xml:space="preserve">the share </w:t>
      </w:r>
      <w:r w:rsidR="00A53B00" w:rsidRPr="006828AE">
        <w:rPr>
          <w:rFonts w:cs="Times New Roman"/>
          <w:szCs w:val="24"/>
        </w:rPr>
        <w:t>of the BRICS</w:t>
      </w:r>
      <w:r w:rsidR="0018694B" w:rsidRPr="006828AE">
        <w:rPr>
          <w:rFonts w:cs="Times New Roman"/>
          <w:szCs w:val="24"/>
        </w:rPr>
        <w:t xml:space="preserve"> countries</w:t>
      </w:r>
      <w:r w:rsidR="007E33D3" w:rsidRPr="006828AE">
        <w:rPr>
          <w:rFonts w:cs="Times New Roman"/>
          <w:szCs w:val="24"/>
        </w:rPr>
        <w:t>, especially China,</w:t>
      </w:r>
      <w:r w:rsidR="00390F0E" w:rsidRPr="006828AE">
        <w:rPr>
          <w:rFonts w:cs="Times New Roman"/>
          <w:szCs w:val="24"/>
        </w:rPr>
        <w:t xml:space="preserve"> </w:t>
      </w:r>
      <w:r w:rsidR="00A6537D" w:rsidRPr="006828AE">
        <w:rPr>
          <w:rFonts w:cs="Times New Roman"/>
          <w:szCs w:val="24"/>
        </w:rPr>
        <w:t xml:space="preserve">mirrors </w:t>
      </w:r>
      <w:r w:rsidR="00817810" w:rsidRPr="006828AE">
        <w:rPr>
          <w:rFonts w:cs="Times New Roman"/>
          <w:szCs w:val="24"/>
        </w:rPr>
        <w:t xml:space="preserve">a </w:t>
      </w:r>
      <w:r w:rsidR="00B522EF" w:rsidRPr="006828AE">
        <w:rPr>
          <w:rFonts w:cs="Times New Roman"/>
          <w:szCs w:val="24"/>
        </w:rPr>
        <w:t xml:space="preserve">strong </w:t>
      </w:r>
      <w:r w:rsidR="00A53B00" w:rsidRPr="006828AE">
        <w:rPr>
          <w:rFonts w:cs="Times New Roman"/>
          <w:szCs w:val="24"/>
        </w:rPr>
        <w:t>decline in the</w:t>
      </w:r>
      <w:r w:rsidR="00390F0E" w:rsidRPr="006828AE">
        <w:rPr>
          <w:rFonts w:cs="Times New Roman"/>
          <w:szCs w:val="24"/>
        </w:rPr>
        <w:t xml:space="preserve"> </w:t>
      </w:r>
      <w:r w:rsidR="003B1CD4" w:rsidRPr="006828AE">
        <w:rPr>
          <w:rFonts w:cs="Times New Roman"/>
          <w:szCs w:val="24"/>
        </w:rPr>
        <w:t xml:space="preserve">global </w:t>
      </w:r>
      <w:r w:rsidR="003A0C1D" w:rsidRPr="006828AE">
        <w:rPr>
          <w:rFonts w:cs="Times New Roman"/>
          <w:szCs w:val="24"/>
        </w:rPr>
        <w:t xml:space="preserve">weight </w:t>
      </w:r>
      <w:r w:rsidR="00A53B00" w:rsidRPr="006828AE">
        <w:rPr>
          <w:rFonts w:cs="Times New Roman"/>
          <w:szCs w:val="24"/>
        </w:rPr>
        <w:t>of</w:t>
      </w:r>
      <w:r w:rsidR="00F32FDF" w:rsidRPr="006828AE">
        <w:rPr>
          <w:rFonts w:cs="Times New Roman"/>
          <w:szCs w:val="24"/>
        </w:rPr>
        <w:t xml:space="preserve"> Japan</w:t>
      </w:r>
      <w:r w:rsidR="00A94E6B" w:rsidRPr="006828AE">
        <w:rPr>
          <w:rFonts w:cs="Times New Roman"/>
          <w:szCs w:val="24"/>
        </w:rPr>
        <w:t xml:space="preserve"> (still </w:t>
      </w:r>
      <w:r w:rsidR="002D0AD3" w:rsidRPr="006828AE">
        <w:rPr>
          <w:rFonts w:cs="Times New Roman"/>
          <w:szCs w:val="24"/>
        </w:rPr>
        <w:t xml:space="preserve">a senior </w:t>
      </w:r>
      <w:r w:rsidR="00A94E6B" w:rsidRPr="006828AE">
        <w:rPr>
          <w:rFonts w:cs="Times New Roman"/>
          <w:szCs w:val="24"/>
        </w:rPr>
        <w:t>financial power), and to a lesser extent, most other advanced industrial countries</w:t>
      </w:r>
      <w:r w:rsidR="00B2252D" w:rsidRPr="006828AE">
        <w:rPr>
          <w:rFonts w:cs="Times New Roman"/>
          <w:szCs w:val="24"/>
        </w:rPr>
        <w:t xml:space="preserve">, </w:t>
      </w:r>
      <w:r w:rsidR="00A817BC" w:rsidRPr="006828AE">
        <w:rPr>
          <w:rFonts w:cs="Times New Roman"/>
          <w:szCs w:val="24"/>
        </w:rPr>
        <w:t xml:space="preserve">with the </w:t>
      </w:r>
      <w:r w:rsidR="00B2252D" w:rsidRPr="006828AE">
        <w:rPr>
          <w:rFonts w:cs="Times New Roman"/>
          <w:szCs w:val="24"/>
        </w:rPr>
        <w:t>except</w:t>
      </w:r>
      <w:r w:rsidR="00A817BC" w:rsidRPr="006828AE">
        <w:rPr>
          <w:rFonts w:cs="Times New Roman"/>
          <w:szCs w:val="24"/>
        </w:rPr>
        <w:t>ion of</w:t>
      </w:r>
      <w:r w:rsidR="00B2252D" w:rsidRPr="006828AE">
        <w:rPr>
          <w:rFonts w:cs="Times New Roman"/>
          <w:szCs w:val="24"/>
        </w:rPr>
        <w:t xml:space="preserve"> Germany</w:t>
      </w:r>
      <w:r w:rsidR="003A0C1D" w:rsidRPr="006828AE">
        <w:rPr>
          <w:rFonts w:cs="Times New Roman"/>
          <w:szCs w:val="24"/>
        </w:rPr>
        <w:t>.</w:t>
      </w:r>
      <w:r w:rsidR="00A53B00" w:rsidRPr="006828AE">
        <w:rPr>
          <w:rFonts w:cs="Times New Roman"/>
          <w:szCs w:val="24"/>
        </w:rPr>
        <w:t xml:space="preserve"> </w:t>
      </w:r>
    </w:p>
    <w:p w:rsidR="00ED275F" w:rsidRPr="006828AE" w:rsidRDefault="00ED275F" w:rsidP="00751132">
      <w:pPr>
        <w:rPr>
          <w:rFonts w:cs="Times New Roman"/>
          <w:szCs w:val="24"/>
        </w:rPr>
      </w:pPr>
    </w:p>
    <w:p w:rsidR="00574265" w:rsidRPr="006828AE" w:rsidRDefault="00574265" w:rsidP="00751132">
      <w:pPr>
        <w:rPr>
          <w:rFonts w:cs="Times New Roman"/>
          <w:b/>
          <w:szCs w:val="24"/>
        </w:rPr>
      </w:pPr>
      <w:r w:rsidRPr="006828AE">
        <w:rPr>
          <w:rFonts w:cs="Times New Roman"/>
          <w:b/>
          <w:szCs w:val="24"/>
        </w:rPr>
        <w:t>Authors Names, Addresses and Affiliations</w:t>
      </w:r>
    </w:p>
    <w:p w:rsidR="00574265" w:rsidRPr="006828AE" w:rsidRDefault="00574265" w:rsidP="00751132">
      <w:pPr>
        <w:pStyle w:val="HTMLPreformatted"/>
        <w:rPr>
          <w:rFonts w:ascii="Times New Roman" w:hAnsi="Times New Roman" w:cs="Times New Roman"/>
          <w:color w:val="auto"/>
          <w:sz w:val="24"/>
          <w:szCs w:val="24"/>
          <w:lang w:val="fr-FR"/>
        </w:rPr>
      </w:pPr>
    </w:p>
    <w:p w:rsidR="00574265" w:rsidRPr="006828AE" w:rsidRDefault="00574265" w:rsidP="00751132">
      <w:pPr>
        <w:pStyle w:val="HTMLPreformatted"/>
        <w:rPr>
          <w:rFonts w:ascii="Times New Roman" w:hAnsi="Times New Roman" w:cs="Times New Roman"/>
          <w:color w:val="auto"/>
          <w:sz w:val="24"/>
          <w:szCs w:val="24"/>
          <w:lang w:val="fr-FR"/>
        </w:rPr>
      </w:pPr>
      <w:r w:rsidRPr="006828AE">
        <w:rPr>
          <w:rFonts w:ascii="Times New Roman" w:hAnsi="Times New Roman" w:cs="Times New Roman"/>
          <w:color w:val="auto"/>
          <w:sz w:val="24"/>
          <w:szCs w:val="24"/>
          <w:lang w:val="fr-FR"/>
        </w:rPr>
        <w:t>Leslie Elliott Armijo</w:t>
      </w:r>
      <w:r w:rsidR="00F45678" w:rsidRPr="006828AE">
        <w:rPr>
          <w:rFonts w:ascii="Times New Roman" w:hAnsi="Times New Roman" w:cs="Times New Roman"/>
          <w:color w:val="auto"/>
          <w:sz w:val="24"/>
          <w:szCs w:val="24"/>
          <w:lang w:val="fr-FR"/>
        </w:rPr>
        <w:t xml:space="preserve"> (corresponding author)</w:t>
      </w:r>
    </w:p>
    <w:p w:rsidR="00574265" w:rsidRPr="006828AE" w:rsidRDefault="00574265" w:rsidP="00751132">
      <w:pPr>
        <w:pStyle w:val="HTMLPreformatted"/>
        <w:rPr>
          <w:rFonts w:ascii="Times New Roman" w:hAnsi="Times New Roman" w:cs="Times New Roman"/>
          <w:color w:val="auto"/>
          <w:sz w:val="24"/>
          <w:szCs w:val="24"/>
          <w:lang w:val="en-US"/>
        </w:rPr>
      </w:pPr>
      <w:r w:rsidRPr="006828AE">
        <w:rPr>
          <w:rFonts w:ascii="Times New Roman" w:hAnsi="Times New Roman" w:cs="Times New Roman"/>
          <w:color w:val="auto"/>
          <w:sz w:val="24"/>
          <w:szCs w:val="24"/>
          <w:lang w:val="en-US"/>
        </w:rPr>
        <w:t>Visiting Scholar, Mark O. Hatfield School of Government</w:t>
      </w:r>
    </w:p>
    <w:p w:rsidR="00574265" w:rsidRPr="006828AE" w:rsidRDefault="00574265" w:rsidP="00751132">
      <w:pPr>
        <w:pStyle w:val="HTMLPreformatted"/>
        <w:rPr>
          <w:rFonts w:ascii="Times New Roman" w:hAnsi="Times New Roman" w:cs="Times New Roman"/>
          <w:color w:val="auto"/>
          <w:sz w:val="24"/>
          <w:szCs w:val="24"/>
          <w:lang w:val="en-US"/>
        </w:rPr>
      </w:pPr>
      <w:r w:rsidRPr="006828AE">
        <w:rPr>
          <w:rFonts w:ascii="Times New Roman" w:hAnsi="Times New Roman" w:cs="Times New Roman"/>
          <w:color w:val="auto"/>
          <w:sz w:val="24"/>
          <w:szCs w:val="24"/>
          <w:lang w:val="en-US"/>
        </w:rPr>
        <w:t>Portland State University</w:t>
      </w:r>
    </w:p>
    <w:p w:rsidR="00574265" w:rsidRPr="006828AE" w:rsidRDefault="00574265" w:rsidP="00751132">
      <w:pPr>
        <w:pStyle w:val="HTMLPreformatted"/>
        <w:rPr>
          <w:rFonts w:ascii="Times New Roman" w:hAnsi="Times New Roman" w:cs="Times New Roman"/>
          <w:color w:val="auto"/>
          <w:sz w:val="24"/>
          <w:szCs w:val="24"/>
          <w:lang w:val="en-US"/>
        </w:rPr>
      </w:pPr>
      <w:r w:rsidRPr="006828AE">
        <w:rPr>
          <w:rFonts w:ascii="Times New Roman" w:hAnsi="Times New Roman" w:cs="Times New Roman"/>
          <w:color w:val="auto"/>
          <w:sz w:val="24"/>
          <w:szCs w:val="24"/>
          <w:lang w:val="en-US"/>
        </w:rPr>
        <w:t>Mailing address (home):</w:t>
      </w:r>
    </w:p>
    <w:p w:rsidR="00574265" w:rsidRPr="006828AE" w:rsidRDefault="00574265" w:rsidP="00751132">
      <w:pPr>
        <w:pStyle w:val="HTMLPreformatted"/>
        <w:rPr>
          <w:rFonts w:ascii="Times New Roman" w:hAnsi="Times New Roman" w:cs="Times New Roman"/>
          <w:color w:val="auto"/>
          <w:sz w:val="24"/>
          <w:szCs w:val="24"/>
          <w:lang w:val="en-US"/>
        </w:rPr>
      </w:pPr>
      <w:r w:rsidRPr="006828AE">
        <w:rPr>
          <w:rFonts w:ascii="Times New Roman" w:hAnsi="Times New Roman" w:cs="Times New Roman"/>
          <w:color w:val="auto"/>
          <w:sz w:val="24"/>
          <w:szCs w:val="24"/>
          <w:lang w:val="en-US"/>
        </w:rPr>
        <w:t>3927 Tempest Drive</w:t>
      </w:r>
    </w:p>
    <w:p w:rsidR="00574265" w:rsidRPr="006828AE" w:rsidRDefault="00574265" w:rsidP="00751132">
      <w:pPr>
        <w:pStyle w:val="HTMLPreformatted"/>
        <w:rPr>
          <w:rFonts w:ascii="Times New Roman" w:hAnsi="Times New Roman" w:cs="Times New Roman"/>
          <w:color w:val="auto"/>
          <w:sz w:val="24"/>
          <w:szCs w:val="24"/>
          <w:lang w:val="en-US"/>
        </w:rPr>
      </w:pPr>
      <w:r w:rsidRPr="006828AE">
        <w:rPr>
          <w:rFonts w:ascii="Times New Roman" w:hAnsi="Times New Roman" w:cs="Times New Roman"/>
          <w:color w:val="auto"/>
          <w:sz w:val="24"/>
          <w:szCs w:val="24"/>
          <w:lang w:val="en-US"/>
        </w:rPr>
        <w:t>Lake Oswego, OR 97035, USA</w:t>
      </w:r>
    </w:p>
    <w:p w:rsidR="00574265" w:rsidRPr="006828AE" w:rsidRDefault="00E80151" w:rsidP="00751132">
      <w:pPr>
        <w:pStyle w:val="HTMLPreformatted"/>
        <w:rPr>
          <w:rFonts w:ascii="Times New Roman" w:hAnsi="Times New Roman" w:cs="Times New Roman"/>
          <w:color w:val="auto"/>
          <w:sz w:val="24"/>
          <w:szCs w:val="24"/>
          <w:lang w:val="en-US"/>
        </w:rPr>
      </w:pPr>
      <w:hyperlink r:id="rId9" w:history="1">
        <w:r w:rsidR="00574265" w:rsidRPr="006828AE">
          <w:rPr>
            <w:rStyle w:val="Hyperlink"/>
            <w:rFonts w:ascii="Times New Roman" w:hAnsi="Times New Roman" w:cs="Times New Roman"/>
            <w:color w:val="auto"/>
            <w:sz w:val="24"/>
            <w:szCs w:val="24"/>
            <w:lang w:val="en-US"/>
          </w:rPr>
          <w:t>leslie.armijo@cal.berkeley.edu</w:t>
        </w:r>
      </w:hyperlink>
    </w:p>
    <w:p w:rsidR="00574265" w:rsidRPr="006828AE" w:rsidRDefault="00E80151" w:rsidP="00751132">
      <w:pPr>
        <w:pStyle w:val="HTMLPreformatted"/>
        <w:rPr>
          <w:rFonts w:ascii="Times New Roman" w:eastAsiaTheme="minorHAnsi" w:hAnsi="Times New Roman" w:cs="Times New Roman"/>
          <w:color w:val="auto"/>
          <w:sz w:val="24"/>
          <w:szCs w:val="24"/>
          <w:lang w:val="en-US" w:eastAsia="en-US"/>
        </w:rPr>
      </w:pPr>
      <w:hyperlink r:id="rId10" w:history="1">
        <w:r w:rsidR="00574265" w:rsidRPr="006828AE">
          <w:rPr>
            <w:rStyle w:val="Hyperlink"/>
            <w:rFonts w:ascii="Times New Roman" w:eastAsiaTheme="minorHAnsi" w:hAnsi="Times New Roman" w:cs="Times New Roman"/>
            <w:color w:val="auto"/>
            <w:sz w:val="24"/>
            <w:szCs w:val="24"/>
            <w:lang w:val="en-US" w:eastAsia="en-US"/>
          </w:rPr>
          <w:t>www.lesliearmijo.org</w:t>
        </w:r>
      </w:hyperlink>
    </w:p>
    <w:p w:rsidR="00574265" w:rsidRPr="006828AE" w:rsidRDefault="00574265" w:rsidP="00751132">
      <w:pPr>
        <w:rPr>
          <w:rFonts w:cs="Times New Roman"/>
          <w:szCs w:val="24"/>
        </w:rPr>
      </w:pPr>
    </w:p>
    <w:p w:rsidR="00574265" w:rsidRPr="006828AE" w:rsidRDefault="00574265" w:rsidP="00751132">
      <w:pPr>
        <w:rPr>
          <w:rFonts w:cs="Times New Roman"/>
          <w:szCs w:val="24"/>
        </w:rPr>
      </w:pPr>
      <w:r w:rsidRPr="006828AE">
        <w:rPr>
          <w:rFonts w:cs="Times New Roman"/>
          <w:szCs w:val="24"/>
        </w:rPr>
        <w:t>Lauriss</w:t>
      </w:r>
      <w:r w:rsidR="00F45678" w:rsidRPr="006828AE">
        <w:rPr>
          <w:rFonts w:cs="Times New Roman"/>
          <w:szCs w:val="24"/>
        </w:rPr>
        <w:t xml:space="preserve">a Mühlich </w:t>
      </w:r>
    </w:p>
    <w:p w:rsidR="00574265" w:rsidRPr="006828AE" w:rsidRDefault="00574265" w:rsidP="00751132">
      <w:pPr>
        <w:rPr>
          <w:rFonts w:cs="Times New Roman"/>
          <w:szCs w:val="24"/>
        </w:rPr>
      </w:pPr>
      <w:r w:rsidRPr="006828AE">
        <w:rPr>
          <w:rFonts w:cs="Times New Roman"/>
          <w:szCs w:val="24"/>
        </w:rPr>
        <w:t>Freie Universität Berlin</w:t>
      </w:r>
    </w:p>
    <w:p w:rsidR="00574265" w:rsidRPr="006828AE" w:rsidRDefault="00574265" w:rsidP="00751132">
      <w:pPr>
        <w:rPr>
          <w:rFonts w:cs="Times New Roman"/>
          <w:szCs w:val="24"/>
        </w:rPr>
      </w:pPr>
      <w:r w:rsidRPr="006828AE">
        <w:rPr>
          <w:rFonts w:cs="Times New Roman"/>
          <w:szCs w:val="24"/>
        </w:rPr>
        <w:t>School of Business &amp; Economics</w:t>
      </w:r>
    </w:p>
    <w:p w:rsidR="00574265" w:rsidRPr="006828AE" w:rsidRDefault="00574265" w:rsidP="00751132">
      <w:pPr>
        <w:rPr>
          <w:rFonts w:cs="Times New Roman"/>
          <w:szCs w:val="24"/>
        </w:rPr>
      </w:pPr>
      <w:r w:rsidRPr="006828AE">
        <w:rPr>
          <w:rFonts w:cs="Times New Roman"/>
          <w:szCs w:val="24"/>
        </w:rPr>
        <w:t>Institute for Latin American Studies</w:t>
      </w:r>
    </w:p>
    <w:p w:rsidR="00574265" w:rsidRPr="006828AE" w:rsidRDefault="00574265" w:rsidP="00751132">
      <w:pPr>
        <w:rPr>
          <w:rFonts w:cs="Times New Roman"/>
          <w:szCs w:val="24"/>
        </w:rPr>
      </w:pPr>
      <w:r w:rsidRPr="006828AE">
        <w:rPr>
          <w:rFonts w:cs="Times New Roman"/>
          <w:szCs w:val="24"/>
        </w:rPr>
        <w:t xml:space="preserve">Rüdesheimer Straße 54-56 </w:t>
      </w:r>
    </w:p>
    <w:p w:rsidR="00574265" w:rsidRPr="006828AE" w:rsidRDefault="00574265" w:rsidP="00751132">
      <w:pPr>
        <w:rPr>
          <w:rFonts w:cs="Times New Roman"/>
          <w:szCs w:val="24"/>
        </w:rPr>
      </w:pPr>
      <w:r w:rsidRPr="006828AE">
        <w:rPr>
          <w:rFonts w:cs="Times New Roman"/>
          <w:szCs w:val="24"/>
        </w:rPr>
        <w:t>D-14197 Berlin (Germany)</w:t>
      </w:r>
    </w:p>
    <w:p w:rsidR="00574265" w:rsidRPr="006828AE" w:rsidRDefault="00E80151" w:rsidP="00751132">
      <w:pPr>
        <w:rPr>
          <w:rFonts w:cs="Times New Roman"/>
          <w:szCs w:val="24"/>
        </w:rPr>
      </w:pPr>
      <w:hyperlink r:id="rId11" w:history="1">
        <w:r w:rsidR="00574265" w:rsidRPr="006828AE">
          <w:rPr>
            <w:rStyle w:val="Hyperlink"/>
            <w:rFonts w:cs="Times New Roman"/>
            <w:color w:val="auto"/>
            <w:szCs w:val="24"/>
          </w:rPr>
          <w:t>laurissa.muehlich@fu-berlin.de</w:t>
        </w:r>
      </w:hyperlink>
    </w:p>
    <w:p w:rsidR="00574265" w:rsidRPr="006828AE" w:rsidRDefault="00574265" w:rsidP="00751132">
      <w:pPr>
        <w:rPr>
          <w:rFonts w:cs="Times New Roman"/>
          <w:szCs w:val="24"/>
        </w:rPr>
      </w:pPr>
    </w:p>
    <w:p w:rsidR="00574265" w:rsidRPr="006828AE" w:rsidRDefault="00574265" w:rsidP="00751132">
      <w:pPr>
        <w:rPr>
          <w:rFonts w:cs="Times New Roman"/>
          <w:szCs w:val="24"/>
        </w:rPr>
      </w:pPr>
      <w:r w:rsidRPr="006828AE">
        <w:rPr>
          <w:rFonts w:cs="Times New Roman"/>
          <w:szCs w:val="24"/>
        </w:rPr>
        <w:t>Daniel C. Tirone</w:t>
      </w:r>
    </w:p>
    <w:p w:rsidR="00574265" w:rsidRPr="006828AE" w:rsidRDefault="00574265" w:rsidP="00751132">
      <w:pPr>
        <w:pStyle w:val="HTMLPreformatted"/>
        <w:rPr>
          <w:rFonts w:ascii="Times New Roman" w:eastAsiaTheme="minorHAnsi" w:hAnsi="Times New Roman" w:cs="Times New Roman"/>
          <w:color w:val="auto"/>
          <w:sz w:val="24"/>
          <w:szCs w:val="24"/>
          <w:lang w:val="en-US" w:eastAsia="en-US"/>
        </w:rPr>
      </w:pPr>
      <w:r w:rsidRPr="006828AE">
        <w:rPr>
          <w:rFonts w:ascii="Times New Roman" w:eastAsiaTheme="minorHAnsi" w:hAnsi="Times New Roman" w:cs="Times New Roman"/>
          <w:color w:val="auto"/>
          <w:sz w:val="24"/>
          <w:szCs w:val="24"/>
          <w:lang w:val="en-US" w:eastAsia="en-US"/>
        </w:rPr>
        <w:t>Department of Political Science</w:t>
      </w:r>
    </w:p>
    <w:p w:rsidR="00574265" w:rsidRPr="006828AE" w:rsidRDefault="00574265" w:rsidP="00751132">
      <w:pPr>
        <w:pStyle w:val="HTMLPreformatted"/>
        <w:rPr>
          <w:rFonts w:ascii="Times New Roman" w:eastAsiaTheme="minorHAnsi" w:hAnsi="Times New Roman" w:cs="Times New Roman"/>
          <w:color w:val="auto"/>
          <w:sz w:val="24"/>
          <w:szCs w:val="24"/>
          <w:lang w:val="en-US" w:eastAsia="en-US"/>
        </w:rPr>
      </w:pPr>
      <w:r w:rsidRPr="006828AE">
        <w:rPr>
          <w:rFonts w:ascii="Times New Roman" w:eastAsiaTheme="minorHAnsi" w:hAnsi="Times New Roman" w:cs="Times New Roman"/>
          <w:color w:val="auto"/>
          <w:sz w:val="24"/>
          <w:szCs w:val="24"/>
          <w:lang w:val="en-US" w:eastAsia="en-US"/>
        </w:rPr>
        <w:t>Louisiana State University</w:t>
      </w:r>
    </w:p>
    <w:p w:rsidR="00574265" w:rsidRPr="006828AE" w:rsidRDefault="00574265" w:rsidP="00751132">
      <w:pPr>
        <w:pStyle w:val="HTMLPreformatted"/>
        <w:rPr>
          <w:rFonts w:ascii="Times New Roman" w:eastAsiaTheme="minorHAnsi" w:hAnsi="Times New Roman" w:cs="Times New Roman"/>
          <w:color w:val="auto"/>
          <w:sz w:val="24"/>
          <w:szCs w:val="24"/>
          <w:lang w:val="en-US" w:eastAsia="en-US"/>
        </w:rPr>
      </w:pPr>
      <w:r w:rsidRPr="006828AE">
        <w:rPr>
          <w:rFonts w:ascii="Times New Roman" w:eastAsiaTheme="minorHAnsi" w:hAnsi="Times New Roman" w:cs="Times New Roman"/>
          <w:color w:val="auto"/>
          <w:sz w:val="24"/>
          <w:szCs w:val="24"/>
          <w:lang w:val="en-US" w:eastAsia="en-US"/>
        </w:rPr>
        <w:t>240 Stubbs Hall</w:t>
      </w:r>
    </w:p>
    <w:p w:rsidR="00574265" w:rsidRPr="006828AE" w:rsidRDefault="00574265" w:rsidP="00751132">
      <w:pPr>
        <w:pStyle w:val="HTMLPreformatted"/>
        <w:rPr>
          <w:rFonts w:ascii="Times New Roman" w:eastAsiaTheme="minorHAnsi" w:hAnsi="Times New Roman" w:cs="Times New Roman"/>
          <w:color w:val="auto"/>
          <w:sz w:val="24"/>
          <w:szCs w:val="24"/>
          <w:lang w:val="fr-FR" w:eastAsia="en-US"/>
        </w:rPr>
      </w:pPr>
      <w:r w:rsidRPr="006828AE">
        <w:rPr>
          <w:rFonts w:ascii="Times New Roman" w:eastAsiaTheme="minorHAnsi" w:hAnsi="Times New Roman" w:cs="Times New Roman"/>
          <w:color w:val="auto"/>
          <w:sz w:val="24"/>
          <w:szCs w:val="24"/>
          <w:lang w:val="fr-FR" w:eastAsia="en-US"/>
        </w:rPr>
        <w:t>Baton Rouge, LA 70803, USA</w:t>
      </w:r>
    </w:p>
    <w:p w:rsidR="00574265" w:rsidRPr="006828AE" w:rsidRDefault="00E80151" w:rsidP="00751132">
      <w:pPr>
        <w:rPr>
          <w:rStyle w:val="Hyperlink"/>
          <w:rFonts w:cs="Times New Roman"/>
          <w:color w:val="auto"/>
        </w:rPr>
      </w:pPr>
      <w:hyperlink r:id="rId12" w:history="1">
        <w:r w:rsidR="00574265" w:rsidRPr="006828AE">
          <w:rPr>
            <w:rStyle w:val="Hyperlink"/>
            <w:rFonts w:cs="Times New Roman"/>
            <w:color w:val="auto"/>
          </w:rPr>
          <w:t>dtiron1@lsu.edu</w:t>
        </w:r>
      </w:hyperlink>
    </w:p>
    <w:p w:rsidR="00A858AB" w:rsidRPr="006828AE" w:rsidRDefault="00A858AB" w:rsidP="00751132">
      <w:pPr>
        <w:jc w:val="center"/>
        <w:rPr>
          <w:rFonts w:cs="Times New Roman"/>
          <w:b/>
          <w:szCs w:val="24"/>
        </w:rPr>
      </w:pPr>
    </w:p>
    <w:p w:rsidR="00B522EF" w:rsidRPr="006828AE" w:rsidRDefault="00B522EF" w:rsidP="00751132">
      <w:pPr>
        <w:jc w:val="center"/>
        <w:rPr>
          <w:rFonts w:cs="Times New Roman"/>
          <w:b/>
          <w:szCs w:val="24"/>
        </w:rPr>
      </w:pPr>
    </w:p>
    <w:p w:rsidR="002D0AD3" w:rsidRPr="006828AE" w:rsidRDefault="002D0AD3" w:rsidP="00751132">
      <w:pPr>
        <w:jc w:val="center"/>
        <w:rPr>
          <w:rFonts w:cs="Times New Roman"/>
          <w:b/>
          <w:szCs w:val="24"/>
        </w:rPr>
      </w:pPr>
    </w:p>
    <w:p w:rsidR="007264D8" w:rsidRPr="006828AE" w:rsidRDefault="00B94801" w:rsidP="007264D8">
      <w:pPr>
        <w:jc w:val="center"/>
        <w:rPr>
          <w:rFonts w:cs="Times New Roman"/>
          <w:b/>
          <w:szCs w:val="24"/>
        </w:rPr>
      </w:pPr>
      <w:r w:rsidRPr="006828AE">
        <w:rPr>
          <w:rFonts w:cs="Times New Roman"/>
          <w:b/>
          <w:szCs w:val="24"/>
        </w:rPr>
        <w:t xml:space="preserve">The </w:t>
      </w:r>
      <w:r w:rsidR="00884F2A" w:rsidRPr="006828AE">
        <w:rPr>
          <w:rFonts w:cs="Times New Roman"/>
          <w:b/>
          <w:szCs w:val="24"/>
        </w:rPr>
        <w:t>Systemic Financi</w:t>
      </w:r>
      <w:r w:rsidR="007264D8">
        <w:rPr>
          <w:rFonts w:cs="Times New Roman"/>
          <w:b/>
          <w:szCs w:val="24"/>
        </w:rPr>
        <w:t>al Importance of Emerging Powers</w:t>
      </w:r>
      <w:r w:rsidR="007264D8">
        <w:rPr>
          <w:rStyle w:val="EndnoteReference"/>
          <w:rFonts w:cs="Times New Roman"/>
          <w:b/>
          <w:szCs w:val="24"/>
        </w:rPr>
        <w:endnoteReference w:id="1"/>
      </w:r>
    </w:p>
    <w:p w:rsidR="002964C4" w:rsidRDefault="002964C4" w:rsidP="00751132">
      <w:pPr>
        <w:jc w:val="center"/>
        <w:rPr>
          <w:rFonts w:cs="Times New Roman"/>
          <w:b/>
          <w:szCs w:val="24"/>
        </w:rPr>
        <w:sectPr w:rsidR="002964C4" w:rsidSect="00C621B0">
          <w:footerReference w:type="default" r:id="rId13"/>
          <w:endnotePr>
            <w:numFmt w:val="decimal"/>
          </w:endnotePr>
          <w:pgSz w:w="12240" w:h="15840"/>
          <w:pgMar w:top="1440" w:right="1440" w:bottom="1440" w:left="1440" w:header="720" w:footer="720" w:gutter="0"/>
          <w:pgNumType w:start="0"/>
          <w:cols w:space="720"/>
          <w:titlePg/>
          <w:docGrid w:linePitch="360"/>
        </w:sectPr>
      </w:pPr>
    </w:p>
    <w:p w:rsidR="002964C4" w:rsidRPr="006828AE" w:rsidRDefault="002964C4" w:rsidP="00751132">
      <w:pPr>
        <w:jc w:val="center"/>
        <w:rPr>
          <w:rFonts w:cs="Times New Roman"/>
          <w:b/>
          <w:szCs w:val="24"/>
        </w:rPr>
      </w:pPr>
    </w:p>
    <w:p w:rsidR="002964C4" w:rsidRPr="006828AE" w:rsidRDefault="002964C4" w:rsidP="00751132">
      <w:pPr>
        <w:rPr>
          <w:rFonts w:cs="Times New Roman"/>
          <w:szCs w:val="24"/>
        </w:rPr>
      </w:pPr>
      <w:r w:rsidRPr="006828AE">
        <w:rPr>
          <w:rFonts w:cs="Times New Roman"/>
          <w:szCs w:val="24"/>
        </w:rPr>
        <w:tab/>
        <w:t xml:space="preserve">Is the world becoming more multipolar and if so, how quickly? This paper responds to two compelling observations. First, pundits and policymakers in the wealthy industrial democracies recently have become convinced that countries such as China, India, and Brazil, whose domestic affairs once seemed remote, are now “emerging powers,” whose choices will have significant impacts on the well-being of advanced industrialized as well as developing </w:t>
      </w:r>
    </w:p>
    <w:p w:rsidR="002964C4" w:rsidRDefault="002964C4" w:rsidP="00751132">
      <w:pPr>
        <w:rPr>
          <w:rFonts w:cs="Times New Roman"/>
          <w:szCs w:val="24"/>
        </w:rPr>
      </w:pPr>
      <w:r w:rsidRPr="006828AE">
        <w:rPr>
          <w:rFonts w:cs="Times New Roman"/>
          <w:szCs w:val="24"/>
        </w:rPr>
        <w:t>countries (for example, Bergsten 2008). Former U.S. Treasury Secretary Lawrence Summers wrote on the eve of the worst days of the recent global financial crisis:</w:t>
      </w:r>
    </w:p>
    <w:p w:rsidR="007264D8" w:rsidRPr="006828AE" w:rsidRDefault="007264D8" w:rsidP="00751132">
      <w:pPr>
        <w:rPr>
          <w:rFonts w:cs="Times New Roman"/>
          <w:szCs w:val="24"/>
        </w:rPr>
      </w:pPr>
    </w:p>
    <w:p w:rsidR="002964C4" w:rsidRPr="006828AE" w:rsidRDefault="002964C4" w:rsidP="00751132">
      <w:pPr>
        <w:ind w:left="432" w:right="432"/>
        <w:rPr>
          <w:rFonts w:cs="Times New Roman"/>
        </w:rPr>
      </w:pPr>
      <w:r w:rsidRPr="006828AE">
        <w:rPr>
          <w:rFonts w:cs="Times New Roman"/>
        </w:rPr>
        <w:t>It has become a cliché to suggest that the world’s institutional approaches to economic co-operation need overhauling to take into account the rising economic clout of emerging markets and the decline in dominance of the group of seven leading industrialized nations (G7). This is correct. The steps taken so far…are valuable if insufficient”</w:t>
      </w:r>
      <w:r w:rsidRPr="006828AE">
        <w:rPr>
          <w:rFonts w:cs="Times New Roman"/>
          <w:i/>
        </w:rPr>
        <w:t xml:space="preserve"> </w:t>
      </w:r>
      <w:r w:rsidRPr="006828AE">
        <w:rPr>
          <w:rFonts w:cs="Times New Roman"/>
        </w:rPr>
        <w:t>(</w:t>
      </w:r>
      <w:r w:rsidRPr="006828AE">
        <w:rPr>
          <w:rFonts w:cs="Times New Roman"/>
          <w:i/>
        </w:rPr>
        <w:t xml:space="preserve">Financial Times, </w:t>
      </w:r>
      <w:r w:rsidRPr="006828AE">
        <w:rPr>
          <w:rFonts w:cs="Times New Roman"/>
        </w:rPr>
        <w:t>August 25, 2008).</w:t>
      </w:r>
    </w:p>
    <w:p w:rsidR="007264D8" w:rsidRDefault="007264D8" w:rsidP="00751132">
      <w:pPr>
        <w:rPr>
          <w:rFonts w:cs="Times New Roman"/>
          <w:szCs w:val="24"/>
        </w:rPr>
      </w:pPr>
    </w:p>
    <w:p w:rsidR="002964C4" w:rsidRPr="006828AE" w:rsidRDefault="002964C4" w:rsidP="00751132">
      <w:pPr>
        <w:rPr>
          <w:rFonts w:cs="Times New Roman"/>
          <w:szCs w:val="24"/>
        </w:rPr>
      </w:pPr>
      <w:r w:rsidRPr="006828AE">
        <w:rPr>
          <w:rFonts w:cs="Times New Roman"/>
          <w:szCs w:val="24"/>
        </w:rPr>
        <w:tab/>
        <w:t>Second, the increasingly dense web of cross-border financial obligations linking firms and individuals worldwide has been volatile in the short-term, and may be shifting its basic structure over the medium- to long-term. The future of Western Europe and the euro</w:t>
      </w:r>
      <w:r w:rsidRPr="006828AE">
        <w:rPr>
          <w:rFonts w:cs="Times New Roman"/>
          <w:i/>
          <w:szCs w:val="24"/>
        </w:rPr>
        <w:t xml:space="preserve"> </w:t>
      </w:r>
      <w:r w:rsidRPr="006828AE">
        <w:rPr>
          <w:rFonts w:cs="Times New Roman"/>
          <w:szCs w:val="24"/>
        </w:rPr>
        <w:t>is clouded. The eurozone could survive as it stands now, sustained by half-hearted and ad hoc interventions rather than serious multilateralization (“regionalization”) of fiscal policy or financial regulation. Yet this dynamic, if continued, would reduce the systemic financial importance of Western Europe and the eurozone over time (Cohen 2012b). Meanwhile, Britain, for centuries Europe’s financial center, flirts with exiting the EU altogether (</w:t>
      </w:r>
      <w:r w:rsidRPr="006828AE">
        <w:rPr>
          <w:rFonts w:cs="Times New Roman"/>
          <w:i/>
          <w:szCs w:val="24"/>
        </w:rPr>
        <w:t xml:space="preserve">Economist </w:t>
      </w:r>
      <w:r w:rsidRPr="006828AE">
        <w:rPr>
          <w:rFonts w:cs="Times New Roman"/>
          <w:szCs w:val="24"/>
        </w:rPr>
        <w:t xml:space="preserve">2012). One alternative scenario projects China as the new global financial hegemon (Subramanian 2011). </w:t>
      </w:r>
    </w:p>
    <w:p w:rsidR="007264D8" w:rsidRDefault="007264D8" w:rsidP="00751132">
      <w:pPr>
        <w:rPr>
          <w:rFonts w:cs="Times New Roman"/>
          <w:szCs w:val="24"/>
        </w:rPr>
      </w:pPr>
    </w:p>
    <w:p w:rsidR="002964C4" w:rsidRPr="006828AE" w:rsidRDefault="002964C4" w:rsidP="00751132">
      <w:pPr>
        <w:rPr>
          <w:rFonts w:cs="Times New Roman"/>
          <w:szCs w:val="24"/>
        </w:rPr>
      </w:pPr>
      <w:r w:rsidRPr="006828AE">
        <w:rPr>
          <w:rFonts w:cs="Times New Roman"/>
          <w:szCs w:val="24"/>
        </w:rPr>
        <w:tab/>
        <w:t>How might we assess these trends? The paper’s first section reconsiders a way of conceptualizing interstate “power” sometimes dismissed as outmoded. Section two reviews types of financial “power,” then introduces the research project. The paper’s third and fourth sections describe our methods and analyze our findings.  The conclusion returns to the larger questions, summarizing our responses and suggesting further research directions.</w:t>
      </w:r>
    </w:p>
    <w:p w:rsidR="002964C4" w:rsidRPr="006828AE" w:rsidRDefault="002964C4" w:rsidP="00751132">
      <w:pPr>
        <w:rPr>
          <w:rFonts w:cs="Times New Roman"/>
          <w:b/>
          <w:szCs w:val="24"/>
        </w:rPr>
      </w:pPr>
    </w:p>
    <w:p w:rsidR="002964C4" w:rsidRPr="006828AE" w:rsidRDefault="002964C4" w:rsidP="00751132">
      <w:pPr>
        <w:rPr>
          <w:rFonts w:cs="Times New Roman"/>
          <w:b/>
          <w:szCs w:val="24"/>
        </w:rPr>
      </w:pPr>
      <w:r w:rsidRPr="006828AE">
        <w:rPr>
          <w:rFonts w:cs="Times New Roman"/>
          <w:b/>
          <w:szCs w:val="24"/>
        </w:rPr>
        <w:t>I. The future of an anachronism? The “power-as-resources” approach in international relations theory</w:t>
      </w:r>
    </w:p>
    <w:p w:rsidR="002964C4" w:rsidRPr="006828AE" w:rsidRDefault="002964C4" w:rsidP="00751132">
      <w:pPr>
        <w:jc w:val="both"/>
        <w:rPr>
          <w:rFonts w:cs="Times New Roman"/>
          <w:szCs w:val="24"/>
        </w:rPr>
      </w:pPr>
      <w:r w:rsidRPr="006828AE">
        <w:rPr>
          <w:rFonts w:cs="Times New Roman"/>
          <w:szCs w:val="24"/>
        </w:rPr>
        <w:tab/>
        <w:t xml:space="preserve">The most straightforward means of investigating possible shifts in the structure of the interstate system is through mapping the interstate distribution of capabilities over time. However, a contemporary international relations scholar choosing to construct a relative capabilities index for nation-states makes some controversial theoretical choices (Garrett and Tsebelis 1999). </w:t>
      </w:r>
    </w:p>
    <w:p w:rsidR="007264D8" w:rsidRDefault="007264D8" w:rsidP="00751132">
      <w:pPr>
        <w:autoSpaceDE w:val="0"/>
        <w:autoSpaceDN w:val="0"/>
        <w:adjustRightInd w:val="0"/>
        <w:rPr>
          <w:rFonts w:cs="Times New Roman"/>
          <w:szCs w:val="24"/>
        </w:rPr>
      </w:pPr>
    </w:p>
    <w:p w:rsidR="002964C4" w:rsidRPr="006828AE" w:rsidRDefault="002964C4" w:rsidP="00751132">
      <w:pPr>
        <w:autoSpaceDE w:val="0"/>
        <w:autoSpaceDN w:val="0"/>
        <w:adjustRightInd w:val="0"/>
        <w:rPr>
          <w:rFonts w:cs="Times New Roman"/>
          <w:szCs w:val="24"/>
        </w:rPr>
      </w:pPr>
      <w:r w:rsidRPr="006828AE">
        <w:rPr>
          <w:rFonts w:cs="Times New Roman"/>
          <w:szCs w:val="24"/>
        </w:rPr>
        <w:tab/>
        <w:t xml:space="preserve">At one time the dominant discourse in political science identified actors—whether  politicians, interest groups, or sovereign states—as either “powerful” or less so, with power, or more accurately potential power, understood as a characteristic of the actor (subject) being observed. Potential power, of course, was not an absolute quality, analogous to height, but </w:t>
      </w:r>
      <w:r w:rsidRPr="006828AE">
        <w:rPr>
          <w:rFonts w:cs="Times New Roman"/>
          <w:szCs w:val="24"/>
        </w:rPr>
        <w:lastRenderedPageBreak/>
        <w:t xml:space="preserve">instead was a relational quality, such as being “short” or “tall.” a judgment that necessarily implies a comparison with other similar actors or units in an interpersonal, inter-unit, or interstate system. </w:t>
      </w:r>
    </w:p>
    <w:p w:rsidR="007264D8" w:rsidRDefault="007264D8" w:rsidP="00751132">
      <w:pPr>
        <w:autoSpaceDE w:val="0"/>
        <w:autoSpaceDN w:val="0"/>
        <w:adjustRightInd w:val="0"/>
        <w:rPr>
          <w:rFonts w:cs="Times New Roman"/>
          <w:szCs w:val="24"/>
        </w:rPr>
      </w:pPr>
    </w:p>
    <w:p w:rsidR="002964C4" w:rsidRPr="006828AE" w:rsidRDefault="002964C4" w:rsidP="00751132">
      <w:pPr>
        <w:autoSpaceDE w:val="0"/>
        <w:autoSpaceDN w:val="0"/>
        <w:adjustRightInd w:val="0"/>
        <w:rPr>
          <w:rFonts w:cs="Times New Roman"/>
          <w:szCs w:val="24"/>
        </w:rPr>
      </w:pPr>
      <w:r w:rsidRPr="006828AE">
        <w:rPr>
          <w:rFonts w:cs="Times New Roman"/>
          <w:szCs w:val="24"/>
        </w:rPr>
        <w:tab/>
        <w:t xml:space="preserve">Today, however, the majority of contemporary scholars of international politics reserve the term “power” for relations of realized influence. Barnett and Duvall (2005), for example, write that, “Power is the production, in and through social relations, of </w:t>
      </w:r>
      <w:r w:rsidRPr="006828AE">
        <w:rPr>
          <w:rFonts w:cs="Times New Roman"/>
          <w:i/>
          <w:szCs w:val="24"/>
        </w:rPr>
        <w:t xml:space="preserve">effects </w:t>
      </w:r>
      <w:r w:rsidRPr="006828AE">
        <w:rPr>
          <w:rFonts w:cs="Times New Roman"/>
          <w:szCs w:val="24"/>
        </w:rPr>
        <w:t xml:space="preserve">that shape the capacities of actors to determine their circumstances and fate” [emphasis added] (39). In distinguishing among four sub-types of power, they include not only the direct and intentional exercise of influence by actor A over actor B, but also various types of indirect and attenuated influence, such as A shaping the rules of institutions within which B must act, the unintended consequences (externalities) for B of A’s actions, and even the ways in which A’s choices, often unintentionally, shape the future ideological or cultural environment that B experiences. What is remarkable in the Barnett and Duvall typology is its rigorous emphasis on the </w:t>
      </w:r>
      <w:r w:rsidRPr="006828AE">
        <w:rPr>
          <w:rFonts w:cs="Times New Roman"/>
          <w:i/>
          <w:szCs w:val="24"/>
        </w:rPr>
        <w:t>object</w:t>
      </w:r>
      <w:r w:rsidRPr="006828AE">
        <w:rPr>
          <w:rFonts w:cs="Times New Roman"/>
          <w:szCs w:val="24"/>
        </w:rPr>
        <w:t xml:space="preserve"> of power: the actor(s) being constrained. In two of the four types of power proposed, a subject intentionally acting on an object is dispensed with entirely. </w:t>
      </w:r>
    </w:p>
    <w:p w:rsidR="007264D8" w:rsidRDefault="007264D8" w:rsidP="00751132">
      <w:pPr>
        <w:autoSpaceDE w:val="0"/>
        <w:autoSpaceDN w:val="0"/>
        <w:adjustRightInd w:val="0"/>
        <w:rPr>
          <w:rFonts w:cs="Times New Roman"/>
          <w:szCs w:val="24"/>
        </w:rPr>
      </w:pPr>
    </w:p>
    <w:p w:rsidR="002964C4" w:rsidRPr="006828AE" w:rsidRDefault="002964C4" w:rsidP="00751132">
      <w:pPr>
        <w:autoSpaceDE w:val="0"/>
        <w:autoSpaceDN w:val="0"/>
        <w:adjustRightInd w:val="0"/>
        <w:rPr>
          <w:rFonts w:cs="Times New Roman"/>
          <w:szCs w:val="24"/>
        </w:rPr>
      </w:pPr>
      <w:r w:rsidRPr="006828AE">
        <w:rPr>
          <w:rFonts w:cs="Times New Roman"/>
          <w:szCs w:val="24"/>
        </w:rPr>
        <w:tab/>
        <w:t>Even scholars whose conceptualization retains the idea that “power” must be exercised by someone, and with more or less conscious intent, emphasize its relational aspect (Cohen 2012; Chiu and Willett 2012; Baldwin 2013). Thus we have the “three faces of power” (Baldwin 2013: 276). The first face represents actor A acting directly to induce, persuade, or coerce actor B (Etzioni 1961). Financial sanctions are direct (Baldwin 1985; Steil and Litan 2006). A second face is the indirect exercise of power, as when A designs and biases the rules of an institution that subsequently limits the choices available to B (Bachrach and Barrett 1962; Thelen and Steinmo 1992).  For example, the International Monetary Fund’s (IMF) conditionality, a result of creditor country preferences, has meant that countries experiencing balance of payments crises must endorse fiscal and monetary austerity. The third face of power is A’s influence over ideas and cognitions that B subsequently applies to him/her/itself (Gramsci 1971 [1920s]), as through the transmission of the neoliberal economic reform ideas of the “Washington consensus” (Williamson 1989, 2004) to finance ministries in developing countries.</w:t>
      </w:r>
    </w:p>
    <w:p w:rsidR="007264D8" w:rsidRDefault="007264D8" w:rsidP="00751132">
      <w:pPr>
        <w:autoSpaceDE w:val="0"/>
        <w:autoSpaceDN w:val="0"/>
        <w:adjustRightInd w:val="0"/>
        <w:rPr>
          <w:rFonts w:cs="Times New Roman"/>
          <w:szCs w:val="24"/>
        </w:rPr>
      </w:pPr>
    </w:p>
    <w:p w:rsidR="002964C4" w:rsidRPr="006828AE" w:rsidRDefault="002964C4" w:rsidP="00751132">
      <w:pPr>
        <w:autoSpaceDE w:val="0"/>
        <w:autoSpaceDN w:val="0"/>
        <w:adjustRightInd w:val="0"/>
        <w:rPr>
          <w:rFonts w:cs="Times New Roman"/>
          <w:szCs w:val="24"/>
        </w:rPr>
      </w:pPr>
      <w:r w:rsidRPr="006828AE">
        <w:rPr>
          <w:rFonts w:cs="Times New Roman"/>
          <w:szCs w:val="24"/>
        </w:rPr>
        <w:tab/>
        <w:t xml:space="preserve">Some literature retains the older power-as-resources tradition. Scholars of “power transitions” focus on the potential for interstate military conflict between a declining hegemon and a rising challenger, with analogies sometimes made between pre-1914 Germany and China today (Organski and Kugler 1981; Tammen et al. 2000). Systems-level theorists such as the late Kenneth Waltz (1979) concerned themselves less with the options or constraints that relative capabilities give the leaders of particular states, than with predicting the properties of interstate systems with differing capabilities distributions (hegemonic, unipolar, bipolar, or multipolar). </w:t>
      </w:r>
    </w:p>
    <w:p w:rsidR="007264D8" w:rsidRDefault="007264D8" w:rsidP="00751132">
      <w:pPr>
        <w:autoSpaceDE w:val="0"/>
        <w:autoSpaceDN w:val="0"/>
        <w:adjustRightInd w:val="0"/>
        <w:rPr>
          <w:rFonts w:cs="Times New Roman"/>
          <w:szCs w:val="24"/>
        </w:rPr>
      </w:pPr>
    </w:p>
    <w:p w:rsidR="002964C4" w:rsidRPr="006828AE" w:rsidRDefault="002964C4" w:rsidP="00751132">
      <w:pPr>
        <w:autoSpaceDE w:val="0"/>
        <w:autoSpaceDN w:val="0"/>
        <w:adjustRightInd w:val="0"/>
        <w:rPr>
          <w:rFonts w:cs="Times New Roman"/>
          <w:szCs w:val="24"/>
        </w:rPr>
      </w:pPr>
      <w:r w:rsidRPr="006828AE">
        <w:rPr>
          <w:rFonts w:cs="Times New Roman"/>
          <w:szCs w:val="24"/>
        </w:rPr>
        <w:tab/>
        <w:t xml:space="preserve">This paper explicitly returns to the earlier theoretical stance. While we recognize the importance of relational power (influence) we also affirm the continuing relevance of the old-fashioned “power-as-resources” approach, particularly when one is deciding what yardstick to use to extend the universe of relevant players beyond the usual suspects.  New actors, or “emerging powers” in international politics, are by definition relatively unknown on the global playing field. To identify them, we must think in terms not of realized influence, but of a country’s potential capacity for exercising influence. In this light, we discuss relative capabilities </w:t>
      </w:r>
      <w:r w:rsidRPr="006828AE">
        <w:rPr>
          <w:rFonts w:cs="Times New Roman"/>
          <w:szCs w:val="24"/>
        </w:rPr>
        <w:lastRenderedPageBreak/>
        <w:t xml:space="preserve">indices below. As justification for the exercise, we note that even the basic membership of the circle of “major powers,” or globally-significant states, is not obvious and may be contested. Thus in January 2009 a top American international relations journal published a special issue on the structure of the international system. Editors Ikenberry, Mastanduno, and Wohlforth (2009) concluded that the international system continued to be securely unipolar, as the U.S. remained overwhelmingly capable in both hard capabilities and in the “soft power” (Nye 1990, 2004) dimensions such as education, scientific knowhow, cultural capabilities, and reputation. In a table reporting on the relative material capabilities of the “major powers,” these authors included the G5 (the U.S., Japan, Germany, Britain, and France), Russia, and China. Neither India nor Brazil was included, although these emerging powers are equivalent to Britain and France on many traditional “hard power” capabilities, including economic size, territory, access to natural resources, and population. </w:t>
      </w:r>
    </w:p>
    <w:p w:rsidR="007264D8" w:rsidRDefault="007264D8" w:rsidP="00751132">
      <w:pPr>
        <w:rPr>
          <w:rFonts w:cs="Times New Roman"/>
          <w:szCs w:val="24"/>
        </w:rPr>
      </w:pPr>
    </w:p>
    <w:p w:rsidR="002964C4" w:rsidRPr="006828AE" w:rsidRDefault="002964C4" w:rsidP="00751132">
      <w:pPr>
        <w:rPr>
          <w:rFonts w:cs="Times New Roman"/>
          <w:szCs w:val="24"/>
        </w:rPr>
      </w:pPr>
      <w:r w:rsidRPr="006828AE">
        <w:rPr>
          <w:rFonts w:cs="Times New Roman"/>
          <w:szCs w:val="24"/>
        </w:rPr>
        <w:tab/>
        <w:t xml:space="preserve">If many in the academic community have been slow to recognize the relatively increasing capabilities of the BRICS (Brazil, Russia, India, China, and since 2010 South Africa) and other emerging powers, the same may be said of practical policymakers. Following the Asian financial crisis (AFC) in the late 1990s, the major advanced industrial powers created two new multilateral organizations. </w:t>
      </w:r>
      <w:r w:rsidRPr="006828AE">
        <w:rPr>
          <w:rFonts w:cs="Times New Roman"/>
        </w:rPr>
        <w:t>The financial G20, tasked with writing recommendations to reform the global financial architecture, was one of the first prestigious international clubs to include both the dominant advanced industrial countries and key emerging economies.</w:t>
      </w:r>
      <w:r w:rsidRPr="006828AE">
        <w:rPr>
          <w:rStyle w:val="EndnoteReference"/>
          <w:rFonts w:cs="Times New Roman"/>
        </w:rPr>
        <w:t xml:space="preserve"> </w:t>
      </w:r>
      <w:r w:rsidRPr="006828AE">
        <w:rPr>
          <w:rStyle w:val="EndnoteReference"/>
          <w:rFonts w:cs="Times New Roman"/>
        </w:rPr>
        <w:endnoteReference w:id="2"/>
      </w:r>
      <w:r w:rsidRPr="006828AE">
        <w:rPr>
          <w:rFonts w:cs="Times New Roman"/>
        </w:rPr>
        <w:t xml:space="preserve"> However, the really consequential work of writing specific new global banking regulations occurred in the Basle Committees on Banking Reform and in the Financial Stability Forum (FSF). The FSF, also dating from 1998, had as members advanced industrial countries and international financial regulatory institutions dominated by these same powers, with only the financial entrepôts Singapore and Hong Kong from among the emerging economies. Yet after the crash of investment bank Lehman Brothers in September 2008, the U.S. George W. Bush administration recognized that an emergency meeting of the G7 major advanced industrial democracies (the G5 plus Canada and Italy) would not yield sufficient firepower to respond to the spreading international crisis, and so convened the first G20 heads of state summit, held in November 2008 in Washington, D.C. The group adopted a more or less coordinated global stimulus, which likely was essential to averting world depression (</w:t>
      </w:r>
      <w:r w:rsidRPr="006828AE">
        <w:rPr>
          <w:rFonts w:cs="Times New Roman"/>
          <w:szCs w:val="24"/>
        </w:rPr>
        <w:t xml:space="preserve">Prasad and Sorkin 2009). The decision to pass the crown of the senior policy coordination body for global economic governance from the G7 to the financial G20 was neither capricious nor temporary, but instead constituted recognition of an underlying capabilities shift that had been underway for some time. One of the least well-understood dimensions of that shift has been precisely in the financial sphere, a challenge we begin to address in this paper. </w:t>
      </w:r>
    </w:p>
    <w:p w:rsidR="007264D8" w:rsidRDefault="007264D8" w:rsidP="00751132">
      <w:pPr>
        <w:autoSpaceDE w:val="0"/>
        <w:autoSpaceDN w:val="0"/>
        <w:adjustRightInd w:val="0"/>
        <w:rPr>
          <w:rFonts w:cs="Times New Roman"/>
          <w:szCs w:val="24"/>
        </w:rPr>
      </w:pPr>
    </w:p>
    <w:p w:rsidR="002964C4" w:rsidRPr="006828AE" w:rsidRDefault="002964C4" w:rsidP="00751132">
      <w:pPr>
        <w:autoSpaceDE w:val="0"/>
        <w:autoSpaceDN w:val="0"/>
        <w:adjustRightInd w:val="0"/>
        <w:rPr>
          <w:rFonts w:cs="Times New Roman"/>
          <w:szCs w:val="24"/>
        </w:rPr>
      </w:pPr>
      <w:r w:rsidRPr="006828AE">
        <w:rPr>
          <w:rFonts w:cs="Times New Roman"/>
          <w:szCs w:val="24"/>
        </w:rPr>
        <w:tab/>
        <w:t xml:space="preserve">We close this section with a </w:t>
      </w:r>
      <w:r w:rsidRPr="006828AE">
        <w:rPr>
          <w:rFonts w:cs="Times New Roman"/>
          <w:i/>
          <w:szCs w:val="24"/>
        </w:rPr>
        <w:t>caveat</w:t>
      </w:r>
      <w:r w:rsidRPr="006828AE">
        <w:rPr>
          <w:rFonts w:cs="Times New Roman"/>
          <w:szCs w:val="24"/>
        </w:rPr>
        <w:t xml:space="preserve">. While we enthusiastically defend the need to investigate the relative material capabilities of sovereign states, we do not intend to impose a steadfastly “Realist” (Morgenthau 1966 [1948]; Mearsheimer 2001) framing on international relations in general nor international economic relations in particular.  Attention to relative national capabilities need not imply a belief that global politics—anymore than international trade or financial relations—operates in a zero-sum fashion, with one country’s gain being an equivalent loss for another. While assessing the relative interstate distribution of capabilities is necessarily a zero-sum exercise, all of international politics is not. The authors stand within the broad Western liberal tradition, recognizing and valuing the (somewhat) independent reality of </w:t>
      </w:r>
      <w:r w:rsidRPr="006828AE">
        <w:rPr>
          <w:rFonts w:cs="Times New Roman"/>
          <w:szCs w:val="24"/>
        </w:rPr>
        <w:lastRenderedPageBreak/>
        <w:t>international institutions and the global influence of ideas such as democracy and multilateral cooperation.</w:t>
      </w:r>
    </w:p>
    <w:p w:rsidR="002964C4" w:rsidRPr="006828AE" w:rsidRDefault="002964C4" w:rsidP="00751132">
      <w:pPr>
        <w:rPr>
          <w:rFonts w:cs="Times New Roman"/>
          <w:b/>
          <w:szCs w:val="24"/>
        </w:rPr>
      </w:pPr>
    </w:p>
    <w:p w:rsidR="002964C4" w:rsidRPr="006828AE" w:rsidRDefault="002964C4" w:rsidP="00751132">
      <w:pPr>
        <w:rPr>
          <w:rFonts w:cs="Times New Roman"/>
          <w:szCs w:val="24"/>
        </w:rPr>
      </w:pPr>
      <w:r w:rsidRPr="006828AE">
        <w:rPr>
          <w:rFonts w:cs="Times New Roman"/>
          <w:b/>
          <w:szCs w:val="24"/>
        </w:rPr>
        <w:t>II. Theorizing the financial capabilities of states and a research project</w:t>
      </w:r>
    </w:p>
    <w:p w:rsidR="007264D8" w:rsidRDefault="007264D8" w:rsidP="00751132">
      <w:pPr>
        <w:rPr>
          <w:rFonts w:cs="Times New Roman"/>
          <w:szCs w:val="24"/>
        </w:rPr>
      </w:pPr>
    </w:p>
    <w:p w:rsidR="002964C4" w:rsidRPr="006828AE" w:rsidRDefault="002964C4" w:rsidP="00751132">
      <w:pPr>
        <w:rPr>
          <w:rFonts w:cs="Times New Roman"/>
        </w:rPr>
      </w:pPr>
      <w:r w:rsidRPr="006828AE">
        <w:rPr>
          <w:rFonts w:cs="Times New Roman"/>
          <w:szCs w:val="24"/>
        </w:rPr>
        <w:tab/>
        <w:t>This paper’s previous section proposed the continuing relevance of assessing the relative material capabilities of sovereign nation-states. By most accounts, instances of violent i</w:t>
      </w:r>
      <w:r w:rsidRPr="006828AE">
        <w:rPr>
          <w:rFonts w:cs="Times New Roman"/>
        </w:rPr>
        <w:t xml:space="preserve">nterstate conflict have been decreasing since the mid-twentieth century (Sarkees, Wayman, and Singer 2003). </w:t>
      </w:r>
      <w:r w:rsidRPr="006828AE">
        <w:rPr>
          <w:rFonts w:cs="Times New Roman"/>
          <w:szCs w:val="24"/>
        </w:rPr>
        <w:t xml:space="preserve">This section argues that traditional capabilities indices, which implicitly focus on resources relevant to military conflict, have neglected a category of capability—control over financial resources—that has become increasingly important to nation-states in the early twenty-first century. Financial globalization, which implies both a rise in the value of cross-border investments and financial contracts, and increasing speed and volatility of financial trading, has dramatically increased over the past three decades. The global stock of internationally-traded corporate shares, plus public and private bonds, approximately tripled between 1995 and 2010, rising from $72 to $212 trillion (at constant 2010 exchange rates) (Roxburgh, Lund, and Piotrowski 2011:2). While daily foreign exchange turnover averaged $1.5 trillion as recently as 1998, it reached nearly $4 trillion in 2010 (BIS 2010:7). </w:t>
      </w:r>
      <w:r w:rsidRPr="006828AE">
        <w:rPr>
          <w:rFonts w:cs="Times New Roman"/>
        </w:rPr>
        <w:t xml:space="preserve">If we assume that a state’s desire to influence the behavior of others is constant over time, which spectrum do we believe currently to be more important to these dynamics: military capabilities or the measures related to increasing depth and breadth of cross-border interconnectedness associated with the globalization process? Trading relationships, foreign aid, and other financial flows are all resources which states can use to affect the behavior of others. Increasingly interconnected and complex relationships do not mean that a more powerful state which controls a greater quantity of financial resources can simply compel a weaker state to acquiesce; the weaker state still has structural power in many of these complex relationships. As we’ve seen repeatedly during the post-2008 eurozone crisis, Germany and Greece reciprocally influence one another. Yet each state is not on equal footing with all others. Interstate disparities in financial resources matter. </w:t>
      </w:r>
    </w:p>
    <w:p w:rsidR="007264D8" w:rsidRDefault="007264D8" w:rsidP="00751132">
      <w:pPr>
        <w:rPr>
          <w:rFonts w:cs="Times New Roman"/>
          <w:szCs w:val="24"/>
        </w:rPr>
      </w:pPr>
    </w:p>
    <w:p w:rsidR="002964C4" w:rsidRPr="006828AE" w:rsidRDefault="002964C4" w:rsidP="00751132">
      <w:pPr>
        <w:rPr>
          <w:rFonts w:cs="Times New Roman"/>
          <w:szCs w:val="24"/>
        </w:rPr>
      </w:pPr>
      <w:r w:rsidRPr="006828AE">
        <w:rPr>
          <w:rFonts w:cs="Times New Roman"/>
          <w:szCs w:val="24"/>
        </w:rPr>
        <w:tab/>
        <w:t xml:space="preserve">We identify four broad types of international financial capabilities. Two are especially relevant to the national policy goal of protecting the domestic economy from succumbing to imported financial crises, an activity sometimes referred to as the exercise of “defensive” financial statecraft (Armijo and Katada 2012) or promotion of national financial “autonomy” (Cohen 2012). The first type of international financial capability is possession of solid </w:t>
      </w:r>
      <w:r w:rsidRPr="006828AE">
        <w:rPr>
          <w:rFonts w:cs="Times New Roman"/>
          <w:i/>
          <w:szCs w:val="24"/>
        </w:rPr>
        <w:t>macroeconomic and financial regulatory fundamentals</w:t>
      </w:r>
      <w:r w:rsidRPr="006828AE">
        <w:rPr>
          <w:rFonts w:cs="Times New Roman"/>
          <w:szCs w:val="24"/>
        </w:rPr>
        <w:t xml:space="preserve">. “Fundamentals” refers to all of the standard measures currently used by investors, international bond rating agencies, and the international financial institutions such as the IMF and World Bank to assess a country’s economic soundness within a broadly neoliberal, pro-market framework. Indicators include macroeconomic outcome variables such as rates of GDP growth, inflation, public debt, and deficits; financial variables such as credit to the private sector as a share of GDP, the spread between deposit and loan rates, or the stock market turnover rate; and government policy variables, such as the policy interest rate, degree of central bank independence, and use of external capital controls. Public and private researchers construct annual country rankings, which influence investor decisions (for example, World Bank 2011a; Heritage Foundation 2012; Cihac, Demirguc-Kunt, Feyen, and Levine 2012). It is widely presumed that economies with superior fundamentals will perform better than those with weak fundamentals in resisting international </w:t>
      </w:r>
      <w:r w:rsidRPr="006828AE">
        <w:rPr>
          <w:rFonts w:cs="Times New Roman"/>
          <w:szCs w:val="24"/>
        </w:rPr>
        <w:lastRenderedPageBreak/>
        <w:t>financial contagion and crises. The IMF therefore conditions its assistance to a country experiencing a balance of payments, currency, or an associated domestic banking crisis on the country first promising to make specific economic policy reforms (Vreeland 2007). To possess strong economic fundamentals—or sometimes even to be perceived by international lenders or investors to possess them (Haley 2001)—thus is a useful form of international financial capability for a nation’s leaders to have at their disposal.</w:t>
      </w:r>
    </w:p>
    <w:p w:rsidR="007264D8" w:rsidRDefault="007264D8" w:rsidP="00751132">
      <w:pPr>
        <w:rPr>
          <w:rFonts w:cs="Times New Roman"/>
          <w:szCs w:val="24"/>
        </w:rPr>
      </w:pPr>
    </w:p>
    <w:p w:rsidR="007264D8" w:rsidRDefault="002964C4" w:rsidP="00751132">
      <w:pPr>
        <w:rPr>
          <w:rFonts w:cs="Times New Roman"/>
          <w:szCs w:val="24"/>
        </w:rPr>
      </w:pPr>
      <w:r w:rsidRPr="006828AE">
        <w:rPr>
          <w:rFonts w:cs="Times New Roman"/>
          <w:szCs w:val="24"/>
        </w:rPr>
        <w:tab/>
        <w:t xml:space="preserve">A second type of international financial capability of states is a sovereign state’s </w:t>
      </w:r>
      <w:r w:rsidRPr="006828AE">
        <w:rPr>
          <w:rFonts w:cs="Times New Roman"/>
          <w:i/>
          <w:szCs w:val="24"/>
        </w:rPr>
        <w:t>economic and financial size</w:t>
      </w:r>
      <w:r w:rsidRPr="006828AE">
        <w:rPr>
          <w:rFonts w:cs="Times New Roman"/>
          <w:szCs w:val="24"/>
        </w:rPr>
        <w:t xml:space="preserve"> in comparison to other states</w:t>
      </w:r>
      <w:r w:rsidRPr="006828AE">
        <w:rPr>
          <w:rFonts w:cs="Times New Roman"/>
          <w:i/>
          <w:szCs w:val="24"/>
        </w:rPr>
        <w:t>.</w:t>
      </w:r>
      <w:r w:rsidRPr="006828AE">
        <w:rPr>
          <w:rFonts w:cs="Times New Roman"/>
          <w:szCs w:val="24"/>
        </w:rPr>
        <w:t xml:space="preserve"> Policymakers and academics in many developing countries and smaller economies also long have argued that sheer size matters a great deal in withstanding imported financial crises, and that small countries with good neoliberal economic fundamentals nonetheless may be battered during periods of global or regional financial turmoil (Stiglitz 2002; Borzenstein, Cowan, Eichengreen, and Panizza, eds. 2008). In this case, the implicit prediction is that, </w:t>
      </w:r>
      <w:r w:rsidRPr="006828AE">
        <w:rPr>
          <w:rFonts w:cs="Times New Roman"/>
          <w:i/>
          <w:szCs w:val="24"/>
        </w:rPr>
        <w:t>ceteris paribus,</w:t>
      </w:r>
      <w:r w:rsidRPr="006828AE">
        <w:rPr>
          <w:rFonts w:cs="Times New Roman"/>
          <w:szCs w:val="24"/>
        </w:rPr>
        <w:t xml:space="preserve"> larger economies with bigger domestic financial sectors will be better able to withstand monetary storms. Moreover, we might expect that a government backed by extensive financial resources of its own will be less vulnerable to foreign political pressure from creditor or investor governments, firms, or other lenders such as the international financial institutions. </w:t>
      </w:r>
    </w:p>
    <w:p w:rsidR="00F2057A" w:rsidRDefault="00F2057A" w:rsidP="00751132">
      <w:pPr>
        <w:rPr>
          <w:rFonts w:cs="Times New Roman"/>
          <w:szCs w:val="24"/>
        </w:rPr>
      </w:pPr>
    </w:p>
    <w:p w:rsidR="002964C4" w:rsidRPr="006828AE" w:rsidRDefault="002964C4" w:rsidP="00751132">
      <w:pPr>
        <w:rPr>
          <w:rFonts w:eastAsia="Times New Roman" w:cs="Times New Roman"/>
          <w:szCs w:val="24"/>
        </w:rPr>
      </w:pPr>
      <w:r w:rsidRPr="006828AE">
        <w:rPr>
          <w:rFonts w:cs="Times New Roman"/>
          <w:szCs w:val="24"/>
        </w:rPr>
        <w:tab/>
        <w:t xml:space="preserve">The next two types of financial capabilities may be especially relevant to national policy goals involving the projection of influence outwards, as through the use of “assertive” financial statecraft  (Armijo and Katada 2012; Steil and Litan 2006; Cohen 2012:2). Our third category of international financial capability is a country’s </w:t>
      </w:r>
      <w:r w:rsidRPr="006828AE">
        <w:rPr>
          <w:rFonts w:cs="Times New Roman"/>
          <w:i/>
          <w:szCs w:val="24"/>
        </w:rPr>
        <w:t xml:space="preserve">importance to global financial markets. </w:t>
      </w:r>
      <w:r w:rsidRPr="006828AE">
        <w:rPr>
          <w:rFonts w:cs="Times New Roman"/>
          <w:szCs w:val="24"/>
        </w:rPr>
        <w:t>While the second category highlights asset ownership, the third concerns participation in transactions. Markets require actors on either side of significant international transactions—importers as well as exporters, and debtors along with their creditors. A country thus might acquire the potential for influence by becoming a very large borrower, one who can demand a debt rescheduling on favorable terms because otherwise its creditors will be ruined. In the words of John Maynard Keynes (1979 [1945]), “</w:t>
      </w:r>
      <w:r w:rsidRPr="006828AE">
        <w:rPr>
          <w:rFonts w:eastAsia="Times New Roman" w:cs="Times New Roman"/>
          <w:bCs/>
          <w:szCs w:val="24"/>
        </w:rPr>
        <w:t>The old saying holds. Owe your banker £1000 and you are at his mercy; owe him £1 million and the position is reversed.</w:t>
      </w:r>
      <w:r w:rsidRPr="006828AE">
        <w:rPr>
          <w:rFonts w:eastAsia="Times New Roman" w:cs="Times New Roman"/>
          <w:szCs w:val="24"/>
        </w:rPr>
        <w:t xml:space="preserve">” Another way for a country to be significant in global financial markets is for its currency to be widely used outside its own borders, whether as a store of value (as in official foreign exchange reserves) or for accounting or transactions purposes (as in international petroleum pricing or other trade invoicing). Cohen (2012b) identifies five different benefits accruing to a country whose home currency is used for global reserves, from lower transaction costs and seiniorage privileges to an enhanced global reputation (see also Eichengreen 2011).  </w:t>
      </w:r>
    </w:p>
    <w:p w:rsidR="007264D8" w:rsidRDefault="007264D8" w:rsidP="00751132">
      <w:pPr>
        <w:rPr>
          <w:rFonts w:cs="Times New Roman"/>
          <w:szCs w:val="24"/>
        </w:rPr>
      </w:pPr>
    </w:p>
    <w:p w:rsidR="002964C4" w:rsidRPr="006828AE" w:rsidRDefault="002964C4" w:rsidP="00751132">
      <w:pPr>
        <w:rPr>
          <w:rFonts w:cs="Times New Roman"/>
          <w:szCs w:val="24"/>
        </w:rPr>
      </w:pPr>
      <w:r w:rsidRPr="006828AE">
        <w:rPr>
          <w:rFonts w:cs="Times New Roman"/>
          <w:szCs w:val="24"/>
        </w:rPr>
        <w:tab/>
        <w:t xml:space="preserve">A fourth type of international financial capability derives from a country’s </w:t>
      </w:r>
      <w:r w:rsidRPr="006828AE">
        <w:rPr>
          <w:rFonts w:cs="Times New Roman"/>
          <w:i/>
          <w:szCs w:val="24"/>
        </w:rPr>
        <w:t>participation in global financial governance,</w:t>
      </w:r>
      <w:r w:rsidRPr="006828AE">
        <w:rPr>
          <w:rFonts w:cs="Times New Roman"/>
          <w:szCs w:val="24"/>
        </w:rPr>
        <w:t xml:space="preserve"> that is, its membership in bodies engaged in creating the rules and procedures regulating international markets, and also in shaping the informal but well-established norms and beliefs (conventional wisdom, best practices) that help channel the patterns of cross-border contracts and investments. Global financial governance may be multilateral, occurring in international organizations whose members must be sovereign states, such as the IMF. International financial governance also may be transnational, taking place in public-private quasi-regulatory committees such as the Bank for International Settlements  (BIS), International Organization of Securities Commissions (IOSCO), or Global Corporate </w:t>
      </w:r>
      <w:r w:rsidRPr="006828AE">
        <w:rPr>
          <w:rFonts w:cs="Times New Roman"/>
          <w:szCs w:val="24"/>
        </w:rPr>
        <w:lastRenderedPageBreak/>
        <w:t>Governance Forum (GCGF), or even within transnational trade associations such as the Institute for International Finance (IIF). The capabilities associated with national ownership of large quantities of international financial assets (the second category of financial “power”) or a dominating presence in global financial markets (the third category) may allow countries to exercise influence directly, as in Baldwin’s (2013) first face of power (Baldwin 2013). Capabilities associated with participation in global financial governance would be more closely tied to the second and third faces of power, that is, to influence exerted via securing one’s preferred institutional designs or discussion agendas (second face) or simply by shaping diffuse norms and expectations in the issue-arena (third face).</w:t>
      </w:r>
    </w:p>
    <w:p w:rsidR="007264D8" w:rsidRDefault="007264D8" w:rsidP="00751132">
      <w:pPr>
        <w:rPr>
          <w:rFonts w:cs="Times New Roman"/>
          <w:szCs w:val="24"/>
        </w:rPr>
      </w:pPr>
    </w:p>
    <w:p w:rsidR="002964C4" w:rsidRPr="006828AE" w:rsidRDefault="002964C4" w:rsidP="00751132">
      <w:pPr>
        <w:rPr>
          <w:rFonts w:cs="Times New Roman"/>
          <w:szCs w:val="24"/>
        </w:rPr>
      </w:pPr>
      <w:r w:rsidRPr="006828AE">
        <w:rPr>
          <w:rFonts w:cs="Times New Roman"/>
          <w:szCs w:val="24"/>
        </w:rPr>
        <w:tab/>
        <w:t>Of these four basic types of international financial capabilities, the first, possession of good macroeconomic fundamentals, already is well-measured by numerous indices and readily-available rankings. The fourth, participation in global governance, must be assessed mostly via qualitative judgments, although some quantitative indicators exist, such as a country’s access to voting shares at the IMF. Nonetheless, it is difficult to imagine how to construct a quantitative ranking or index of a country’s overall participation in world financial governance.</w:t>
      </w:r>
    </w:p>
    <w:p w:rsidR="007264D8" w:rsidRDefault="007264D8" w:rsidP="00751132">
      <w:pPr>
        <w:rPr>
          <w:rFonts w:cs="Times New Roman"/>
          <w:szCs w:val="24"/>
        </w:rPr>
      </w:pPr>
    </w:p>
    <w:p w:rsidR="002964C4" w:rsidRPr="006828AE" w:rsidRDefault="002964C4" w:rsidP="00751132">
      <w:pPr>
        <w:rPr>
          <w:rFonts w:cs="Times New Roman"/>
          <w:szCs w:val="24"/>
        </w:rPr>
      </w:pPr>
      <w:r w:rsidRPr="006828AE">
        <w:rPr>
          <w:rFonts w:cs="Times New Roman"/>
          <w:szCs w:val="24"/>
        </w:rPr>
        <w:tab/>
        <w:t>These considerations led us to the following research project. We began our empirical study by turning to the best-known “power” index—although “capabilities index” is a more precise description—used by scholars of international relations and security studies. As that index is based on control of resources that were more significant in the nineteenth century than today, we updated it with more contemporary components. Next we calculated three alternative financial indices, each emphasizing a different aspect of international financial capability. We used results from all five indices to evaluate the contemporary interstate distribution of global financial capabilities. We also examined the international financial profiles of certain key states.</w:t>
      </w:r>
    </w:p>
    <w:p w:rsidR="002964C4" w:rsidRPr="006828AE" w:rsidRDefault="002964C4" w:rsidP="00751132">
      <w:pPr>
        <w:rPr>
          <w:rFonts w:cs="Times New Roman"/>
          <w:b/>
          <w:szCs w:val="24"/>
        </w:rPr>
      </w:pPr>
      <w:r w:rsidRPr="006828AE">
        <w:rPr>
          <w:rFonts w:cs="Times New Roman"/>
          <w:b/>
          <w:szCs w:val="24"/>
        </w:rPr>
        <w:t xml:space="preserve"> </w:t>
      </w:r>
    </w:p>
    <w:p w:rsidR="002964C4" w:rsidRPr="006828AE" w:rsidRDefault="002964C4" w:rsidP="00751132">
      <w:pPr>
        <w:rPr>
          <w:rFonts w:cs="Times New Roman"/>
          <w:b/>
          <w:szCs w:val="24"/>
        </w:rPr>
      </w:pPr>
      <w:r w:rsidRPr="006828AE">
        <w:rPr>
          <w:rFonts w:cs="Times New Roman"/>
          <w:b/>
          <w:szCs w:val="24"/>
        </w:rPr>
        <w:t>III. Challenges of operationalization: Assessing country shares of global material and financial capabilities</w:t>
      </w:r>
    </w:p>
    <w:p w:rsidR="007264D8" w:rsidRDefault="007264D8" w:rsidP="00751132">
      <w:pPr>
        <w:rPr>
          <w:rFonts w:cs="Times New Roman"/>
          <w:szCs w:val="24"/>
        </w:rPr>
      </w:pPr>
    </w:p>
    <w:p w:rsidR="002964C4" w:rsidRDefault="002964C4" w:rsidP="00751132">
      <w:pPr>
        <w:rPr>
          <w:rFonts w:cs="Times New Roman"/>
          <w:szCs w:val="24"/>
        </w:rPr>
      </w:pPr>
      <w:r w:rsidRPr="006828AE">
        <w:rPr>
          <w:rFonts w:cs="Times New Roman"/>
          <w:szCs w:val="24"/>
        </w:rPr>
        <w:tab/>
        <w:t>This section explains how we have operationalized each of the dimensions that we have hoped to assess. Our core research question asks whether country shares of international political and financial capabilities have in fact shifted away from the U.S. and other advanced industrial countries and toward a new set of emerging economies--perhaps China, perhaps the BRICS or others. Table 1 summarizes the purposes and components of our five relative capabilities indices.</w:t>
      </w:r>
    </w:p>
    <w:p w:rsidR="007264D8" w:rsidRPr="006828AE" w:rsidRDefault="007264D8" w:rsidP="00751132">
      <w:pPr>
        <w:rPr>
          <w:rFonts w:cs="Times New Roman"/>
          <w:szCs w:val="24"/>
        </w:rPr>
      </w:pPr>
    </w:p>
    <w:p w:rsidR="002964C4" w:rsidRPr="006828AE" w:rsidRDefault="002964C4" w:rsidP="00D639B7">
      <w:pPr>
        <w:jc w:val="center"/>
        <w:rPr>
          <w:rFonts w:cs="Times New Roman"/>
          <w:szCs w:val="24"/>
        </w:rPr>
      </w:pPr>
      <w:r w:rsidRPr="006828AE">
        <w:rPr>
          <w:rFonts w:cs="Times New Roman"/>
          <w:szCs w:val="24"/>
        </w:rPr>
        <w:t>&lt; Table 1 here &gt;</w:t>
      </w:r>
    </w:p>
    <w:p w:rsidR="007264D8" w:rsidRDefault="007264D8" w:rsidP="00751132">
      <w:pPr>
        <w:ind w:firstLine="720"/>
        <w:rPr>
          <w:rFonts w:cs="Times New Roman"/>
          <w:szCs w:val="24"/>
        </w:rPr>
      </w:pPr>
    </w:p>
    <w:p w:rsidR="002964C4" w:rsidRPr="006828AE" w:rsidRDefault="002964C4" w:rsidP="00751132">
      <w:pPr>
        <w:ind w:firstLine="720"/>
        <w:rPr>
          <w:rFonts w:cs="Times New Roman"/>
        </w:rPr>
      </w:pPr>
      <w:r w:rsidRPr="006828AE">
        <w:rPr>
          <w:rFonts w:cs="Times New Roman"/>
          <w:szCs w:val="24"/>
        </w:rPr>
        <w:t xml:space="preserve">We began with the </w:t>
      </w:r>
      <w:r w:rsidRPr="006828AE">
        <w:rPr>
          <w:rFonts w:cs="Times New Roman"/>
          <w:b/>
          <w:i/>
        </w:rPr>
        <w:t>CINC</w:t>
      </w:r>
      <w:r w:rsidRPr="006828AE">
        <w:rPr>
          <w:rFonts w:cs="Times New Roman"/>
          <w:i/>
        </w:rPr>
        <w:t xml:space="preserve"> </w:t>
      </w:r>
      <w:r w:rsidRPr="006828AE">
        <w:rPr>
          <w:rFonts w:cs="Times New Roman"/>
        </w:rPr>
        <w:t xml:space="preserve">(composite index of national capabilities), </w:t>
      </w:r>
      <w:r w:rsidRPr="006828AE">
        <w:rPr>
          <w:rFonts w:cs="Times New Roman"/>
          <w:szCs w:val="24"/>
        </w:rPr>
        <w:t xml:space="preserve">a traditional “power index,” drawn from the international relations and security studies literature. This standard, non-financial index serves as a baseline for this study, as our claim is that the addition of an explicit financial dimension to the analysis will </w:t>
      </w:r>
      <w:r w:rsidRPr="006828AE">
        <w:rPr>
          <w:rFonts w:cs="Times New Roman"/>
          <w:i/>
          <w:szCs w:val="24"/>
        </w:rPr>
        <w:t>improve</w:t>
      </w:r>
      <w:r w:rsidRPr="006828AE">
        <w:rPr>
          <w:rFonts w:cs="Times New Roman"/>
          <w:szCs w:val="24"/>
        </w:rPr>
        <w:t xml:space="preserve"> our understanding of relative interstate capabilities in the current era of substantial economic and financial globalization. The </w:t>
      </w:r>
      <w:r w:rsidRPr="006828AE">
        <w:rPr>
          <w:rFonts w:cs="Times New Roman"/>
        </w:rPr>
        <w:t xml:space="preserve">Correlates of War (COW) Project directed by Singer, Bremmer, and Stuckey (1972) has calculated the CINC for a shifting set of “major countries” going back to 1870. It includes each country’s relative shares of the total group’s military manpower, military spending, iron and steel production, energy use, urban population, and total population. We also examined several newer </w:t>
      </w:r>
      <w:r w:rsidRPr="006828AE">
        <w:rPr>
          <w:rFonts w:cs="Times New Roman"/>
        </w:rPr>
        <w:lastRenderedPageBreak/>
        <w:t>capabilities indices, including the Elcano Global Presence Index (IEPG) calculated by a team of Spanish scholars, which allocates capability increments both for hard material resources (economy, defense) and softer ones, such as cultural production and attractiveness to immigrants (Real Instituto Elcano 2012). Because our present focus is with material capabilities, we decided not to include the IEPG.</w:t>
      </w:r>
    </w:p>
    <w:p w:rsidR="007264D8" w:rsidRDefault="007264D8" w:rsidP="00751132">
      <w:pPr>
        <w:ind w:firstLine="720"/>
        <w:rPr>
          <w:rFonts w:cs="Times New Roman"/>
        </w:rPr>
      </w:pPr>
    </w:p>
    <w:p w:rsidR="002964C4" w:rsidRPr="006828AE" w:rsidRDefault="002964C4" w:rsidP="00751132">
      <w:pPr>
        <w:ind w:firstLine="720"/>
        <w:rPr>
          <w:rFonts w:cs="Times New Roman"/>
        </w:rPr>
      </w:pPr>
      <w:r w:rsidRPr="006828AE">
        <w:rPr>
          <w:rFonts w:cs="Times New Roman"/>
        </w:rPr>
        <w:t xml:space="preserve">Recognizing that any flaws we might find with the CINC likely resulted from the fact that its authors had to employ indicators of national capabilities that would be applicable as far back as the late eighteenth century, we then calculated an alternative overall capabilities index of our own design, the </w:t>
      </w:r>
      <w:r w:rsidRPr="006828AE">
        <w:rPr>
          <w:rFonts w:cs="Times New Roman"/>
          <w:b/>
          <w:i/>
        </w:rPr>
        <w:t>CCI</w:t>
      </w:r>
      <w:r w:rsidRPr="006828AE">
        <w:rPr>
          <w:rFonts w:cs="Times New Roman"/>
        </w:rPr>
        <w:t xml:space="preserve"> (contemporary capabilities index). The CCI mimics the CINC in its construction, but substitutes specific components more relevant to the early twenty-first century. The CCI is computed as the mean of national shares in global totals of military spending, total population, national income (GDP in current US dollars), telephone subscriptions (both fixed and mobile), industrial value-added, and foreign exchange reserves.</w:t>
      </w:r>
      <w:r w:rsidRPr="006828AE">
        <w:rPr>
          <w:rStyle w:val="EndnoteReference"/>
          <w:rFonts w:cs="Times New Roman"/>
        </w:rPr>
        <w:endnoteReference w:id="3"/>
      </w:r>
      <w:r w:rsidRPr="006828AE">
        <w:rPr>
          <w:rFonts w:cs="Times New Roman"/>
        </w:rPr>
        <w:t xml:space="preserve"> In contrast to the CINC, therefore, the CCI incorporates the total size of the economy, two proxies for technology, and a measure of financial capability, and no longer assigns positive valence to high energy consumption or urbanization. The indicators for total population and military spending are common to both the CINC and CCI. </w:t>
      </w:r>
    </w:p>
    <w:p w:rsidR="007264D8" w:rsidRDefault="002964C4" w:rsidP="00751132">
      <w:pPr>
        <w:rPr>
          <w:rFonts w:cs="Times New Roman"/>
        </w:rPr>
      </w:pPr>
      <w:r w:rsidRPr="006828AE">
        <w:rPr>
          <w:rFonts w:cs="Times New Roman"/>
        </w:rPr>
        <w:tab/>
      </w:r>
    </w:p>
    <w:p w:rsidR="002964C4" w:rsidRPr="006828AE" w:rsidRDefault="007264D8" w:rsidP="00751132">
      <w:pPr>
        <w:rPr>
          <w:rFonts w:cs="Times New Roman"/>
        </w:rPr>
      </w:pPr>
      <w:r>
        <w:rPr>
          <w:rFonts w:cs="Times New Roman"/>
        </w:rPr>
        <w:tab/>
      </w:r>
      <w:r w:rsidR="002964C4" w:rsidRPr="006828AE">
        <w:rPr>
          <w:rFonts w:cs="Times New Roman"/>
        </w:rPr>
        <w:t xml:space="preserve">Next we constructed three indices relevant to assessing international financial capabilities. None focuses on macroeconomic fundamentals, the first variety of international financial capability discussed above, for two reasons. Many comparative indices of national financial health already exist (for example, Cihac et al. 2012). Moreover, measures such as credit growth rates or banks’ levels of non-performing loans are not easily included in an index measuring national shares of a global total. Nor do our indices evaluate a country’s influence in global financial and economic governance, the fourth dimension of global financial capability. Instead, each of our three indices represents an effort to assess the second and/or third dimensions of financial capability—size of assets and market presence—described above. </w:t>
      </w:r>
    </w:p>
    <w:p w:rsidR="007264D8" w:rsidRDefault="002964C4" w:rsidP="00751132">
      <w:pPr>
        <w:rPr>
          <w:rFonts w:cs="Times New Roman"/>
        </w:rPr>
      </w:pPr>
      <w:r w:rsidRPr="006828AE">
        <w:rPr>
          <w:rFonts w:cs="Times New Roman"/>
        </w:rPr>
        <w:tab/>
      </w:r>
    </w:p>
    <w:p w:rsidR="002964C4" w:rsidRDefault="007264D8" w:rsidP="00751132">
      <w:pPr>
        <w:rPr>
          <w:rFonts w:cs="Times New Roman"/>
        </w:rPr>
      </w:pPr>
      <w:r>
        <w:rPr>
          <w:rFonts w:cs="Times New Roman"/>
        </w:rPr>
        <w:tab/>
      </w:r>
      <w:r w:rsidR="002964C4" w:rsidRPr="006828AE">
        <w:rPr>
          <w:rFonts w:cs="Times New Roman"/>
        </w:rPr>
        <w:t xml:space="preserve">The </w:t>
      </w:r>
      <w:r w:rsidR="002964C4" w:rsidRPr="006828AE">
        <w:rPr>
          <w:rFonts w:cs="Times New Roman"/>
          <w:b/>
          <w:i/>
        </w:rPr>
        <w:t xml:space="preserve">CMCI </w:t>
      </w:r>
      <w:r w:rsidR="002964C4" w:rsidRPr="006828AE">
        <w:rPr>
          <w:rFonts w:cs="Times New Roman"/>
        </w:rPr>
        <w:t>(correlates of monetary capability index) brings together components theorized in the literature to represent the potential of a country’s money to become an international reserve and transactions currency, one dimension of a country’s weight in global financial markets. Subramanian (2011) reports that three economic variables were the best predictors of the likelihood of a country’s national money being or becoming a global reserve currency: large GDP, share of global trade transactions, and current account surplus. We therefore calculate the CMCI as the unweighted annual mean of EW, TST, and CAS.</w:t>
      </w:r>
      <w:r w:rsidR="002964C4" w:rsidRPr="006828AE">
        <w:rPr>
          <w:rStyle w:val="CommentReference"/>
        </w:rPr>
        <w:t xml:space="preserve"> </w:t>
      </w:r>
      <w:r w:rsidR="002964C4" w:rsidRPr="006828AE">
        <w:rPr>
          <w:rFonts w:cs="Times New Roman"/>
          <w:b/>
          <w:i/>
        </w:rPr>
        <w:t xml:space="preserve">EW </w:t>
      </w:r>
      <w:r w:rsidR="002964C4" w:rsidRPr="006828AE">
        <w:rPr>
          <w:rFonts w:cs="Times New Roman"/>
        </w:rPr>
        <w:t xml:space="preserve">(economic weight) is the country’s share in global GDP. </w:t>
      </w:r>
      <w:r w:rsidR="002964C4" w:rsidRPr="006828AE">
        <w:rPr>
          <w:rFonts w:cs="Times New Roman"/>
          <w:b/>
          <w:i/>
        </w:rPr>
        <w:t xml:space="preserve">TST </w:t>
      </w:r>
      <w:r w:rsidR="002964C4" w:rsidRPr="006828AE">
        <w:rPr>
          <w:rFonts w:cs="Times New Roman"/>
        </w:rPr>
        <w:t xml:space="preserve">(transactions share, trade) reports the national share of the world sum of the absolute values of imports and exports: the indicator thus assesses the country’s importance as both an international buyer and a seller, rather than giving information on its trade balance. </w:t>
      </w:r>
      <w:r w:rsidR="002964C4" w:rsidRPr="006828AE">
        <w:rPr>
          <w:rFonts w:cs="Times New Roman"/>
          <w:b/>
          <w:i/>
        </w:rPr>
        <w:t xml:space="preserve">CAS </w:t>
      </w:r>
      <w:r w:rsidR="002964C4" w:rsidRPr="006828AE">
        <w:rPr>
          <w:rFonts w:cs="Times New Roman"/>
        </w:rPr>
        <w:t xml:space="preserve">(current account share), in contrast, reports on a country’s </w:t>
      </w:r>
      <w:r w:rsidR="002964C4" w:rsidRPr="006828AE">
        <w:rPr>
          <w:rFonts w:cs="Times New Roman"/>
          <w:i/>
        </w:rPr>
        <w:t>net</w:t>
      </w:r>
      <w:r w:rsidR="002964C4" w:rsidRPr="006828AE">
        <w:rPr>
          <w:rFonts w:cs="Times New Roman"/>
        </w:rPr>
        <w:t xml:space="preserve"> payments situation.</w:t>
      </w:r>
      <w:r w:rsidR="002964C4" w:rsidRPr="006828AE">
        <w:rPr>
          <w:rStyle w:val="EndnoteReference"/>
          <w:rFonts w:cs="Times New Roman"/>
        </w:rPr>
        <w:t xml:space="preserve"> </w:t>
      </w:r>
      <w:r w:rsidR="002964C4" w:rsidRPr="006828AE">
        <w:rPr>
          <w:rStyle w:val="EndnoteReference"/>
          <w:rFonts w:cs="Times New Roman"/>
        </w:rPr>
        <w:endnoteReference w:id="4"/>
      </w:r>
      <w:r w:rsidR="002964C4" w:rsidRPr="006828AE">
        <w:rPr>
          <w:rFonts w:cs="Times New Roman"/>
        </w:rPr>
        <w:t xml:space="preserve"> The world total sums the net current account surpluses of all surplus countries, then allocate shares of the global total to each of them. Countries with net deficits are scored as controlling 0 percent shares, but do not incur any additional penalty for their trade deficits. As with our other indices, the CMCI runs from 1 to 100 percent, with the latter figure representing the world total. </w:t>
      </w:r>
    </w:p>
    <w:p w:rsidR="007264D8" w:rsidRPr="006828AE" w:rsidRDefault="007264D8" w:rsidP="00751132">
      <w:pPr>
        <w:rPr>
          <w:rFonts w:cs="Times New Roman"/>
        </w:rPr>
      </w:pPr>
    </w:p>
    <w:p w:rsidR="002964C4" w:rsidRPr="006828AE" w:rsidRDefault="002964C4" w:rsidP="00751132">
      <w:pPr>
        <w:rPr>
          <w:rFonts w:cs="Times New Roman"/>
        </w:rPr>
      </w:pPr>
      <w:r w:rsidRPr="006828AE">
        <w:rPr>
          <w:rFonts w:cs="Times New Roman"/>
        </w:rPr>
        <w:lastRenderedPageBreak/>
        <w:tab/>
        <w:t xml:space="preserve">We built two additional indices to measure the interstate distribution of financial capabilities. The </w:t>
      </w:r>
      <w:r w:rsidRPr="006828AE">
        <w:rPr>
          <w:rFonts w:cs="Times New Roman"/>
          <w:b/>
          <w:i/>
        </w:rPr>
        <w:t>SS</w:t>
      </w:r>
      <w:r w:rsidRPr="006828AE">
        <w:rPr>
          <w:rFonts w:cs="Times New Roman"/>
          <w:i/>
        </w:rPr>
        <w:t xml:space="preserve"> </w:t>
      </w:r>
      <w:r w:rsidRPr="006828AE">
        <w:rPr>
          <w:rFonts w:cs="Times New Roman"/>
        </w:rPr>
        <w:t xml:space="preserve">(share of stocks) composite assesses a country’s global weight as an owner of financial and closely-related assets, in other words, its economic and financial size, the second type of financial capability discussed earlier. Its components are EW, FWD, CWI, and FSFX. </w:t>
      </w:r>
      <w:r w:rsidRPr="006828AE">
        <w:rPr>
          <w:rFonts w:cs="Times New Roman"/>
          <w:b/>
          <w:i/>
        </w:rPr>
        <w:t xml:space="preserve">EW </w:t>
      </w:r>
      <w:r w:rsidRPr="006828AE">
        <w:rPr>
          <w:rFonts w:cs="Times New Roman"/>
        </w:rPr>
        <w:t xml:space="preserve">(economic weight) is the same measure utilized in CMIC. We recognize that GDP technically is an annual flow, not a stock, but consider it the best available indicator of a country’s overall asset position (wealth). </w:t>
      </w:r>
      <w:r w:rsidRPr="006828AE">
        <w:rPr>
          <w:rFonts w:cs="Times New Roman"/>
          <w:b/>
          <w:i/>
        </w:rPr>
        <w:t>FWD</w:t>
      </w:r>
      <w:r w:rsidRPr="006828AE">
        <w:rPr>
          <w:rFonts w:cs="Times New Roman"/>
          <w:b/>
        </w:rPr>
        <w:t xml:space="preserve"> </w:t>
      </w:r>
      <w:r w:rsidRPr="006828AE">
        <w:rPr>
          <w:rFonts w:cs="Times New Roman"/>
        </w:rPr>
        <w:t xml:space="preserve">(financial weight, domestic) sums a country’s domestic deposits with banks and other financial institutions, stock market capitalization, and private and public bond market capitalization, then assigns individual countries shares of the global total of all domestically-held financial assets. </w:t>
      </w:r>
      <w:r w:rsidRPr="006828AE">
        <w:rPr>
          <w:rFonts w:cs="Times New Roman"/>
          <w:b/>
          <w:i/>
        </w:rPr>
        <w:t xml:space="preserve">CWI </w:t>
      </w:r>
      <w:r w:rsidRPr="006828AE">
        <w:rPr>
          <w:rFonts w:cs="Times New Roman"/>
        </w:rPr>
        <w:t xml:space="preserve">(creditor weight, international) is our label for a country’s net foreign financial asset position, excluding foreign exchange reserves, which we assess separately. CWI represents assets less liabilities in the categories of portfolio equity, foreign direct investment, portfolio debt and other investments, and financial derivatives. As with the current account measure included in the CMCI composite, countries whose net foreign financial holdings are negative are allocated a zero percent share. We sum the world total of gross foreign financial assets, then take each country’s net assets as a share of that. Finally, </w:t>
      </w:r>
      <w:r w:rsidRPr="006828AE">
        <w:rPr>
          <w:rFonts w:cs="Times New Roman"/>
          <w:b/>
          <w:i/>
        </w:rPr>
        <w:t xml:space="preserve">FWFX </w:t>
      </w:r>
      <w:r w:rsidRPr="006828AE">
        <w:rPr>
          <w:rFonts w:cs="Times New Roman"/>
        </w:rPr>
        <w:t>(financial weight, foreign exchange) reports a country’s share of world official foreign exchange reserves.</w:t>
      </w:r>
      <w:r w:rsidRPr="006828AE">
        <w:rPr>
          <w:rStyle w:val="EndnoteReference"/>
          <w:rFonts w:cs="Times New Roman"/>
        </w:rPr>
        <w:endnoteReference w:id="5"/>
      </w:r>
      <w:r w:rsidRPr="006828AE">
        <w:rPr>
          <w:rFonts w:cs="Times New Roman"/>
        </w:rPr>
        <w:t xml:space="preserve"> The SS also is calculated as the annual sum of its indicators, then presented on a scale of 0-100. We note that our decision to report official foreign exchange holdings separately, rather than as simply another type of international financial asset, effectively gives them a higher weight within the SS than they otherwise would have. Our theoretical justification recognizes the importance of foreign exchange reserves in preventing or defending against imported financial contagion, as well as their prominence in contemporary perceptions of national financial prowess. Future research could lead to adjustments in these relative weights.  </w:t>
      </w:r>
    </w:p>
    <w:p w:rsidR="007264D8" w:rsidRDefault="007264D8" w:rsidP="00751132">
      <w:pPr>
        <w:rPr>
          <w:rFonts w:cs="Times New Roman"/>
        </w:rPr>
      </w:pPr>
    </w:p>
    <w:p w:rsidR="002964C4" w:rsidRPr="006828AE" w:rsidRDefault="002964C4" w:rsidP="00751132">
      <w:pPr>
        <w:rPr>
          <w:rFonts w:cs="Times New Roman"/>
        </w:rPr>
      </w:pPr>
      <w:r w:rsidRPr="006828AE">
        <w:rPr>
          <w:rFonts w:cs="Times New Roman"/>
        </w:rPr>
        <w:tab/>
        <w:t xml:space="preserve">Our final index, the </w:t>
      </w:r>
      <w:r w:rsidRPr="006828AE">
        <w:rPr>
          <w:rFonts w:cs="Times New Roman"/>
          <w:b/>
          <w:i/>
        </w:rPr>
        <w:t xml:space="preserve">ST </w:t>
      </w:r>
      <w:r w:rsidRPr="006828AE">
        <w:rPr>
          <w:rFonts w:cs="Times New Roman"/>
        </w:rPr>
        <w:t>(share of transactions) follows a similar pattern. Designed to approximate a country’s importance in global markets, the third basic type of financial capability profiled above, the ST is an unweighted average of three indicators: TST, MSIF, and CDSR.</w:t>
      </w:r>
      <w:r w:rsidRPr="006828AE">
        <w:rPr>
          <w:rStyle w:val="EndnoteReference"/>
          <w:rFonts w:cs="Times New Roman"/>
        </w:rPr>
        <w:endnoteReference w:id="6"/>
      </w:r>
      <w:r w:rsidRPr="006828AE">
        <w:rPr>
          <w:rFonts w:cs="Times New Roman"/>
        </w:rPr>
        <w:t xml:space="preserve"> </w:t>
      </w:r>
      <w:r w:rsidRPr="006828AE">
        <w:rPr>
          <w:rFonts w:cs="Times New Roman"/>
          <w:b/>
          <w:i/>
        </w:rPr>
        <w:t>TST</w:t>
      </w:r>
      <w:r w:rsidRPr="006828AE">
        <w:rPr>
          <w:rFonts w:cs="Times New Roman"/>
        </w:rPr>
        <w:t xml:space="preserve"> (transactions share, trade) is as in the CMCI. The rationale for its inclusion is that many financial transactions, such as trade credits, grow directly from trade relations, while others are linked indirectly, as with trade that subsequently generates foreign direct investment.  </w:t>
      </w:r>
      <w:r w:rsidRPr="006828AE">
        <w:rPr>
          <w:rFonts w:cs="Times New Roman"/>
          <w:b/>
          <w:i/>
        </w:rPr>
        <w:t xml:space="preserve">MSIF </w:t>
      </w:r>
      <w:r w:rsidRPr="006828AE">
        <w:rPr>
          <w:rFonts w:cs="Times New Roman"/>
        </w:rPr>
        <w:t xml:space="preserve">(market share, international finance) is constructed similarly to the trade transactions measure. Drawing on the same data on a nation’s foreign financial assets and liabilities as the CWI indicator (and again excluding official foreign exchange holdings), the MSIF sums the absolute values of all of the outstanding financial ownership links at year’s end, then takes each country’s share of the world total. While the CWI in the SS index is a net figure, representing asset ownership, the MSIF in the ST index records the size of a country’s total footprint in all outstanding cross-border financial contracts, irrespective of the country’s net position. </w:t>
      </w:r>
    </w:p>
    <w:p w:rsidR="007264D8" w:rsidRDefault="007264D8" w:rsidP="00751132">
      <w:pPr>
        <w:rPr>
          <w:rFonts w:cs="Times New Roman"/>
        </w:rPr>
      </w:pPr>
    </w:p>
    <w:p w:rsidR="002964C4" w:rsidRPr="006828AE" w:rsidRDefault="002964C4" w:rsidP="00751132">
      <w:pPr>
        <w:rPr>
          <w:rFonts w:cs="Times New Roman"/>
        </w:rPr>
      </w:pPr>
      <w:r w:rsidRPr="006828AE">
        <w:rPr>
          <w:rFonts w:cs="Times New Roman"/>
        </w:rPr>
        <w:tab/>
        <w:t xml:space="preserve">The ST index’s third component, </w:t>
      </w:r>
      <w:r w:rsidRPr="006828AE">
        <w:rPr>
          <w:rFonts w:cs="Times New Roman"/>
          <w:b/>
          <w:i/>
        </w:rPr>
        <w:t xml:space="preserve">CDSR </w:t>
      </w:r>
      <w:r w:rsidRPr="006828AE">
        <w:rPr>
          <w:rFonts w:cs="Times New Roman"/>
        </w:rPr>
        <w:t xml:space="preserve">(currency denomination share, reserves), tracks the national money in which official reserves are held. While the FWFX indicator that forms a piece of the SS index focuses on the relative value of the foreign exchange reserves owned by a nation’s central bank, the CDSR in contrast suggests that country A’s potential international influence increases when foreign country B chooses to hold B’s official reserves in A’s currency. The majority of countries worldwide have a 0 percent share on the CDSR measure, because their national monies are not “hard” currencies. We deal with the transition to the euro as follows. For </w:t>
      </w:r>
      <w:r w:rsidRPr="006828AE">
        <w:rPr>
          <w:rFonts w:cs="Times New Roman"/>
        </w:rPr>
        <w:lastRenderedPageBreak/>
        <w:t>the period from 1995-1998 the reserves allocated in Deutsche marks were, on average, approximately eight times as large as those denominated in French francs, while the share of other European countries which would join the eurozone were largely negligible. Therefore, for the period beginning in 1999 Germany was allocated 89 percent of euro holdings, with France assuming the remaining 11 percent.</w:t>
      </w:r>
    </w:p>
    <w:p w:rsidR="007264D8" w:rsidRDefault="007264D8" w:rsidP="00751132">
      <w:pPr>
        <w:rPr>
          <w:rFonts w:cs="Times New Roman"/>
        </w:rPr>
      </w:pPr>
    </w:p>
    <w:p w:rsidR="002964C4" w:rsidRPr="006828AE" w:rsidRDefault="002964C4" w:rsidP="00751132">
      <w:pPr>
        <w:rPr>
          <w:rFonts w:cs="Times New Roman"/>
          <w:szCs w:val="24"/>
        </w:rPr>
      </w:pPr>
      <w:r w:rsidRPr="006828AE">
        <w:rPr>
          <w:rFonts w:cs="Times New Roman"/>
        </w:rPr>
        <w:tab/>
      </w:r>
      <w:r w:rsidRPr="006828AE">
        <w:rPr>
          <w:rFonts w:cs="Times New Roman"/>
          <w:szCs w:val="24"/>
        </w:rPr>
        <w:t>Our overall dataset, limited by the availability of several of the financial indicators, covers approximately 180 countries over the years 1995-2010. In some cases, internally missing data on some measures for specific countries or years either prevented calculation of particular indicators for our aggregated categories (e.g., euro-17 or BRICS), or meant that the number of countries in our calculation was substantively different for these years than others. In these cases, we interpolated the missing values using preceding and following observations, as well as data on each country aggregate’s share of global income (EW) during the missing years, when available. We only interpolated values for aggregated categories of countries, and not individual countries, with the exception of the United States. Missing data typically clustered in the years 1999 or 2010, presumably due to the introduction of the euro in the former and the global financial crisis in the latter. The latest CINC observations are available through 2007. Given that our CCI index includes two components drawn from the CINC, it also ends in that year.</w:t>
      </w:r>
    </w:p>
    <w:p w:rsidR="007264D8" w:rsidRDefault="007264D8" w:rsidP="000A20FC">
      <w:pPr>
        <w:rPr>
          <w:rFonts w:cs="Times New Roman"/>
        </w:rPr>
      </w:pPr>
    </w:p>
    <w:p w:rsidR="002964C4" w:rsidRPr="006828AE" w:rsidRDefault="002964C4" w:rsidP="000A20FC">
      <w:pPr>
        <w:rPr>
          <w:rFonts w:cs="Times New Roman"/>
        </w:rPr>
      </w:pPr>
      <w:r w:rsidRPr="006828AE">
        <w:rPr>
          <w:rFonts w:cs="Times New Roman"/>
        </w:rPr>
        <w:tab/>
        <w:t xml:space="preserve">What we set out to do, then, was to see how these five alternative capabilities indices—CINC, CCI, CMCI, SS, and ST—mapped the shifting patterns of the underlying “true” distribution of material capabilities relevant to international financial influence among all countries. Our overall hypothesis was of rising multipolarity—that is, a redistribution of global capabilities in the direction of the BRICS and other emerging powers—though we were unsure at whose expense this predicted rebalancing might occur. We anticipated that the CINC composite might give some odd results, simply because its categories arguably were anachronistic in the age of computers and climate change, and hoped that the CCI would correct these shortcomings. We also imagined that both the CINC and the CCI would tend to overcount the shares of emerging economies, because much of the continuing global influence of the major advanced industrial democracies rests on “soft” capabilities. Even the CCI, while more up to date than the CINC, still lacks an indicator of really high-technology production, such as patents filed or research and development spending. Moreover, its single financial component (FWFX) discriminates against the U.S., which has less need to hold official reserves. We anticipated that the three financial indices (CMCI, SS, ST) would show the U.S. and other advanced industrial countries as enjoying relatively </w:t>
      </w:r>
      <w:r w:rsidRPr="006828AE">
        <w:rPr>
          <w:rFonts w:cs="Times New Roman"/>
          <w:i/>
        </w:rPr>
        <w:t xml:space="preserve">larger </w:t>
      </w:r>
      <w:r w:rsidRPr="006828AE">
        <w:rPr>
          <w:rFonts w:cs="Times New Roman"/>
        </w:rPr>
        <w:t>shares of global capabilities than did the two traditional “power indices” (CINC, CCI), as monetary and financial clout should be concentrated in the core capitalist economies. Overall, we hypothesized that all five indices, if valid, would track roughly similar trends, with the same countries and groups rising or falling over time, even if these patterns unfolded at differing speeds and levels within each index.</w:t>
      </w:r>
    </w:p>
    <w:p w:rsidR="007264D8" w:rsidRDefault="007264D8" w:rsidP="00751132">
      <w:pPr>
        <w:rPr>
          <w:rFonts w:cs="Times New Roman"/>
          <w:b/>
          <w:szCs w:val="24"/>
        </w:rPr>
      </w:pPr>
    </w:p>
    <w:p w:rsidR="002964C4" w:rsidRPr="006828AE" w:rsidRDefault="002964C4" w:rsidP="00751132">
      <w:pPr>
        <w:rPr>
          <w:rFonts w:cs="Times New Roman"/>
          <w:b/>
          <w:szCs w:val="24"/>
        </w:rPr>
      </w:pPr>
      <w:r w:rsidRPr="006828AE">
        <w:rPr>
          <w:rFonts w:cs="Times New Roman"/>
          <w:b/>
          <w:szCs w:val="24"/>
        </w:rPr>
        <w:t>IV. Data analysis</w:t>
      </w:r>
    </w:p>
    <w:p w:rsidR="007264D8" w:rsidRDefault="007264D8" w:rsidP="00BC7502">
      <w:pPr>
        <w:rPr>
          <w:rFonts w:cs="Times New Roman"/>
          <w:b/>
          <w:szCs w:val="24"/>
        </w:rPr>
      </w:pPr>
    </w:p>
    <w:p w:rsidR="002964C4" w:rsidRPr="006828AE" w:rsidRDefault="002964C4" w:rsidP="00BC7502">
      <w:r w:rsidRPr="006828AE">
        <w:rPr>
          <w:rFonts w:cs="Times New Roman"/>
          <w:b/>
          <w:szCs w:val="24"/>
        </w:rPr>
        <w:tab/>
      </w:r>
      <w:r w:rsidRPr="006828AE">
        <w:rPr>
          <w:rFonts w:cs="Times New Roman"/>
          <w:szCs w:val="24"/>
        </w:rPr>
        <w:t xml:space="preserve">The results of our data analysis confirmed some expectations and confounded others. The first analytical task was to ascertain if our indices made sense, that is, if they were consistent with broad patterns that we anticipated from our previous knowledge of international affairs. Figures 1 through 5 show similar trends over time, which suggests that they all are measuring the </w:t>
      </w:r>
      <w:r w:rsidRPr="006828AE">
        <w:rPr>
          <w:rFonts w:cs="Times New Roman"/>
          <w:szCs w:val="24"/>
        </w:rPr>
        <w:lastRenderedPageBreak/>
        <w:t>same underlying phenomena. The display shows the three countries that place in the top five in all five indices--the United States, China, and Japan—as well as two aggregates, the Eurozone-17 and the BRICS (excluding China). We note that the BRICS share neither a common currency nor a contiguous economic region, and that some scholars have dismissed the grouping as ephemeral or trivial (Kahler forthcoming). Yet since their first leaders’ summit in early 2009 the BRICS have consistently made common cause in pressing for increased influence in global governance (Armijo and Roberts forthcoming). We therefore assess the BRICS’ relative capabilities both singly and jointly.</w:t>
      </w:r>
    </w:p>
    <w:p w:rsidR="007264D8" w:rsidRDefault="007264D8" w:rsidP="000C7708">
      <w:pPr>
        <w:jc w:val="center"/>
        <w:rPr>
          <w:rFonts w:cs="Times New Roman"/>
          <w:szCs w:val="24"/>
        </w:rPr>
      </w:pPr>
    </w:p>
    <w:p w:rsidR="002964C4" w:rsidRPr="006828AE" w:rsidRDefault="002964C4" w:rsidP="000C7708">
      <w:pPr>
        <w:jc w:val="center"/>
        <w:rPr>
          <w:rFonts w:cs="Times New Roman"/>
          <w:szCs w:val="24"/>
        </w:rPr>
      </w:pPr>
      <w:r w:rsidRPr="006828AE">
        <w:rPr>
          <w:rFonts w:cs="Times New Roman"/>
          <w:szCs w:val="24"/>
        </w:rPr>
        <w:t>&lt; Figures 1 through 5 here&gt;</w:t>
      </w:r>
    </w:p>
    <w:p w:rsidR="007264D8" w:rsidRDefault="007264D8" w:rsidP="00751132">
      <w:pPr>
        <w:rPr>
          <w:rFonts w:cs="Times New Roman"/>
          <w:szCs w:val="24"/>
        </w:rPr>
      </w:pPr>
    </w:p>
    <w:p w:rsidR="002964C4" w:rsidRPr="006828AE" w:rsidRDefault="002964C4" w:rsidP="00751132">
      <w:pPr>
        <w:rPr>
          <w:rFonts w:cs="Times New Roman"/>
          <w:szCs w:val="24"/>
        </w:rPr>
      </w:pPr>
      <w:r w:rsidRPr="006828AE">
        <w:rPr>
          <w:rFonts w:cs="Times New Roman"/>
          <w:szCs w:val="24"/>
        </w:rPr>
        <w:tab/>
        <w:t xml:space="preserve">The trends show the U.S. holding steady (CINC, CMCI, SS, ST) or slightly down (CCI). China rises either dramatically (CINC, CCI, CMCI, SS) or gently (ST). The pattern of the other BRICS is similar to China’s although less dramatic: their shares increase in four indices (CCI, CMCI, SS, and ST), holding steady in the fifth (CINC). Japan falls dramatically in every index except the CINC, in which it holds steady, while the Euro-17 pattern parallels that of Japan, albeit more incrementally, falling slightly (CINC) or precipitously (CCI, CMCI) in three indices, while holding steady in two (SS, ST). Overall, both the two traditional “power” indices and the three financial indices confirm our expectation of a gradual shift of material capabilities away from the advanced industrial countries and toward the emerging economies, especially China. </w:t>
      </w:r>
    </w:p>
    <w:p w:rsidR="007264D8" w:rsidRDefault="007264D8" w:rsidP="00751132">
      <w:pPr>
        <w:rPr>
          <w:rFonts w:cs="Times New Roman"/>
          <w:szCs w:val="24"/>
        </w:rPr>
      </w:pPr>
    </w:p>
    <w:p w:rsidR="002964C4" w:rsidRPr="006828AE" w:rsidRDefault="002964C4" w:rsidP="00751132">
      <w:pPr>
        <w:rPr>
          <w:rFonts w:cs="Times New Roman"/>
          <w:szCs w:val="24"/>
        </w:rPr>
      </w:pPr>
      <w:r w:rsidRPr="006828AE">
        <w:rPr>
          <w:rFonts w:cs="Times New Roman"/>
          <w:szCs w:val="24"/>
        </w:rPr>
        <w:tab/>
        <w:t xml:space="preserve">However, while the </w:t>
      </w:r>
      <w:r w:rsidRPr="006828AE">
        <w:rPr>
          <w:rFonts w:cs="Times New Roman"/>
          <w:i/>
          <w:szCs w:val="24"/>
        </w:rPr>
        <w:t>trends</w:t>
      </w:r>
      <w:r w:rsidRPr="006828AE">
        <w:rPr>
          <w:rFonts w:cs="Times New Roman"/>
          <w:szCs w:val="24"/>
        </w:rPr>
        <w:t xml:space="preserve"> in all five indices performed as anticipated, the </w:t>
      </w:r>
      <w:r w:rsidRPr="006828AE">
        <w:rPr>
          <w:rFonts w:cs="Times New Roman"/>
          <w:i/>
          <w:szCs w:val="24"/>
        </w:rPr>
        <w:t>levels</w:t>
      </w:r>
      <w:r w:rsidRPr="006828AE">
        <w:rPr>
          <w:rFonts w:cs="Times New Roman"/>
          <w:szCs w:val="24"/>
        </w:rPr>
        <w:t xml:space="preserve"> are more puzzling and, in some cases, less credible. Thus our first traditional index, the CINC, suggests that China has held a greater share of overall capabilities than the U.S. since the late 1990s, which is implausible. Even the CCI shows China drawing level with the U.S. at the end of the period, which we attribute to the index’s omission of any measures of soft power or very high technology, as noted earlier. Results for the CMCI are similarly puzzling, as they suggest the euro is almost twice as likely as the U.S. dollar to constitute the global reserve currency, which clearly has not come to pass.</w:t>
      </w:r>
      <w:r w:rsidRPr="006828AE">
        <w:rPr>
          <w:rStyle w:val="EndnoteReference"/>
          <w:rFonts w:cs="Times New Roman"/>
          <w:szCs w:val="24"/>
        </w:rPr>
        <w:endnoteReference w:id="7"/>
      </w:r>
      <w:r w:rsidRPr="006828AE">
        <w:rPr>
          <w:rFonts w:cs="Times New Roman"/>
          <w:szCs w:val="24"/>
        </w:rPr>
        <w:t xml:space="preserve"> Thus we have somewhat greater confidence in the trends than the levels shown by our indices. While we analyze the results we found, we do so with the </w:t>
      </w:r>
      <w:r w:rsidRPr="006828AE">
        <w:rPr>
          <w:rFonts w:cs="Times New Roman"/>
          <w:i/>
          <w:szCs w:val="24"/>
        </w:rPr>
        <w:t xml:space="preserve">caveat </w:t>
      </w:r>
      <w:r w:rsidRPr="006828AE">
        <w:rPr>
          <w:rFonts w:cs="Times New Roman"/>
          <w:szCs w:val="24"/>
        </w:rPr>
        <w:t>that two indices, the CINC and CMCI, surely underestimate the U.S.’ share of world resources.</w:t>
      </w:r>
    </w:p>
    <w:p w:rsidR="007264D8" w:rsidRDefault="007264D8" w:rsidP="00830BF3">
      <w:pPr>
        <w:jc w:val="center"/>
        <w:rPr>
          <w:rFonts w:cs="Times New Roman"/>
          <w:szCs w:val="24"/>
        </w:rPr>
      </w:pPr>
    </w:p>
    <w:p w:rsidR="002964C4" w:rsidRPr="006828AE" w:rsidRDefault="002964C4" w:rsidP="00830BF3">
      <w:pPr>
        <w:jc w:val="center"/>
        <w:rPr>
          <w:rFonts w:cs="Times New Roman"/>
          <w:szCs w:val="24"/>
        </w:rPr>
      </w:pPr>
      <w:r w:rsidRPr="006828AE">
        <w:rPr>
          <w:rFonts w:cs="Times New Roman"/>
          <w:szCs w:val="24"/>
        </w:rPr>
        <w:t>&lt;Tables 2 and 3 here&gt;</w:t>
      </w:r>
    </w:p>
    <w:p w:rsidR="007264D8" w:rsidRDefault="007264D8" w:rsidP="0036631A">
      <w:pPr>
        <w:rPr>
          <w:rFonts w:cs="Times New Roman"/>
          <w:szCs w:val="24"/>
        </w:rPr>
      </w:pPr>
    </w:p>
    <w:p w:rsidR="002964C4" w:rsidRPr="006828AE" w:rsidRDefault="002964C4" w:rsidP="0036631A">
      <w:pPr>
        <w:rPr>
          <w:rFonts w:cs="Times New Roman"/>
          <w:szCs w:val="24"/>
        </w:rPr>
      </w:pPr>
      <w:r w:rsidRPr="006828AE">
        <w:rPr>
          <w:rFonts w:cs="Times New Roman"/>
          <w:szCs w:val="24"/>
        </w:rPr>
        <w:tab/>
        <w:t xml:space="preserve">Next we explore our individual country results in greater detail. Table 2 lists the top fifteen countries for each measure at the end of our study period (2007 for CINC and CCI, and 2010 for the financial indices), while Table 3 displays clusters of countries. Even bearing in mind the roughness of some of these indices, they display remarkable consistency in identifying important clusters of countries. At the end of the period, nine countries were top-ranked in every measure. Six of the G7, not unexpectedly, are in this set: the United States, Japan, Germany, the United Kingdom, France, and Italy. Of course, China also appears in the list. Perhaps more surprisingly, so do India and South Korea. The second cluster shows countries that appear in the top fifteen in at least one traditional and one financial index. Here we find Russia and Brazil, the other two large BRICS, along with Saudi Arabia and Spain. A third group, containing only Indonesia, shows countries that are top-ranked in overall capabilities, but not in financial power. A fourth cluster, containing Canada and the Netherlands, shows countries whose financial </w:t>
      </w:r>
      <w:r w:rsidRPr="006828AE">
        <w:rPr>
          <w:rFonts w:cs="Times New Roman"/>
          <w:szCs w:val="24"/>
        </w:rPr>
        <w:lastRenderedPageBreak/>
        <w:t xml:space="preserve">capabilities overshadow their overall power profiles. All of the countries in Table 3 except Spain and the Netherlands are members of the financial G20. </w:t>
      </w:r>
    </w:p>
    <w:p w:rsidR="007264D8" w:rsidRDefault="007264D8" w:rsidP="000A3057">
      <w:pPr>
        <w:rPr>
          <w:rFonts w:cs="Times New Roman"/>
          <w:szCs w:val="24"/>
        </w:rPr>
      </w:pPr>
    </w:p>
    <w:p w:rsidR="002964C4" w:rsidRPr="006828AE" w:rsidRDefault="002964C4" w:rsidP="000A3057">
      <w:pPr>
        <w:rPr>
          <w:rFonts w:cs="Times New Roman"/>
          <w:szCs w:val="24"/>
        </w:rPr>
      </w:pPr>
      <w:r w:rsidRPr="006828AE">
        <w:rPr>
          <w:rFonts w:cs="Times New Roman"/>
          <w:szCs w:val="24"/>
        </w:rPr>
        <w:tab/>
        <w:t xml:space="preserve">Table 3 also indicates movement over time for each of these major and emerging financial powers. As most countries’ trends were relatively linear, we calculated the mean change over time for each country in the dataset on all five indices, then constructed a probability distribution from the results. Looking at the three most important world financial powers (in the top five on every index), we see three patterns. China’s share expanded a lot, averaging a gain of 7.36 percent on all indices at the end of the period as compared to 1995. Japan was much the largest loser, albeit from a very high initial position: its mean index share at the end was -7.63 below its beginning level. The U.S. retained its dominant share mostly unchanged, as did its close and economically-intertwined neighbor, Canada, as well as Spain, Indonesia, and Russia. Modest gainers included three emerging (India, Saudi Arabia, and Brazil) and one recently emerged economy (South Korea), and the eurozone’s lynchpin: Germany. The remaining advanced industrial countries—the UK, France, and Italy--logged modest losses of between -0.2 and -1.13 percent. Other large newly-industrialized countries, including Mexico, Turkey, South Africa, and Malaysia, also held steady or increased their shares of global resources. Overall, our initial expectations were confirmed, and </w:t>
      </w:r>
      <w:r w:rsidRPr="006828AE">
        <w:rPr>
          <w:rFonts w:cs="Times New Roman"/>
          <w:i/>
          <w:szCs w:val="24"/>
        </w:rPr>
        <w:t>a fortiori</w:t>
      </w:r>
      <w:r w:rsidRPr="006828AE">
        <w:rPr>
          <w:rFonts w:cs="Times New Roman"/>
          <w:szCs w:val="24"/>
        </w:rPr>
        <w:t xml:space="preserve"> in the case of China.</w:t>
      </w:r>
    </w:p>
    <w:p w:rsidR="007264D8" w:rsidRDefault="007264D8" w:rsidP="003D7AA4">
      <w:pPr>
        <w:jc w:val="center"/>
        <w:rPr>
          <w:rFonts w:cs="Times New Roman"/>
          <w:szCs w:val="24"/>
        </w:rPr>
      </w:pPr>
    </w:p>
    <w:p w:rsidR="002964C4" w:rsidRPr="006828AE" w:rsidRDefault="002964C4" w:rsidP="003D7AA4">
      <w:pPr>
        <w:jc w:val="center"/>
        <w:rPr>
          <w:rFonts w:cs="Times New Roman"/>
          <w:szCs w:val="24"/>
        </w:rPr>
      </w:pPr>
      <w:r w:rsidRPr="006828AE">
        <w:rPr>
          <w:rFonts w:cs="Times New Roman"/>
          <w:szCs w:val="24"/>
        </w:rPr>
        <w:t>&lt; Figures 6 through 8 about here&gt;</w:t>
      </w:r>
    </w:p>
    <w:p w:rsidR="007264D8" w:rsidRDefault="007264D8" w:rsidP="00751132">
      <w:pPr>
        <w:rPr>
          <w:rFonts w:cs="Times New Roman"/>
          <w:szCs w:val="24"/>
        </w:rPr>
      </w:pPr>
    </w:p>
    <w:p w:rsidR="002964C4" w:rsidRPr="006828AE" w:rsidRDefault="002964C4" w:rsidP="00751132">
      <w:pPr>
        <w:rPr>
          <w:rFonts w:cs="Times New Roman"/>
          <w:szCs w:val="24"/>
        </w:rPr>
      </w:pPr>
      <w:r w:rsidRPr="006828AE">
        <w:rPr>
          <w:rFonts w:cs="Times New Roman"/>
          <w:szCs w:val="24"/>
        </w:rPr>
        <w:tab/>
        <w:t xml:space="preserve">Our final but perhaps most intriguing analytical task is to distinguish among </w:t>
      </w:r>
      <w:r w:rsidRPr="006828AE">
        <w:rPr>
          <w:rFonts w:cs="Times New Roman"/>
          <w:i/>
          <w:szCs w:val="24"/>
        </w:rPr>
        <w:t>types of international financial power</w:t>
      </w:r>
      <w:r w:rsidRPr="006828AE">
        <w:rPr>
          <w:rFonts w:cs="Times New Roman"/>
          <w:szCs w:val="24"/>
        </w:rPr>
        <w:t xml:space="preserve"> via a more detailed analysis of the differing distribution across key countries of the main components of our share of stocks (SS) and share of transactions (ST) indices. Figure 6 shows the placement of five theoretically interesting countries and two aggregates on both the SS and ST. Figures 7 and 8 show stacked displays of the global totals of each component of SS and ST (thus Figure 7’s vertical scale runs from 0 to 400 percent and Figure 8’s from 0 to 300 percent).  There are four broad patterns. The first is that of the United States and Britain. The U.S. has a large presence in our SS index, about 16 percent of these world assets in 1995 and 15 percent at the end of the study period. As shown in Figure 7, the U.S.’ large share of stocks is entirely due to its large domestic economy (EW) and domestic financial system (FWD). The U.S.’ domestic financial sector during our study period consistently constituted between a third and half of the world total. Since the mid-20</w:t>
      </w:r>
      <w:r w:rsidRPr="006828AE">
        <w:rPr>
          <w:rFonts w:cs="Times New Roman"/>
          <w:szCs w:val="24"/>
          <w:vertAlign w:val="superscript"/>
        </w:rPr>
        <w:t>th</w:t>
      </w:r>
      <w:r w:rsidRPr="006828AE">
        <w:rPr>
          <w:rFonts w:cs="Times New Roman"/>
          <w:szCs w:val="24"/>
        </w:rPr>
        <w:t xml:space="preserve"> century, financial services also have contributed an increasing share to the U.S. GDP, rising from about 3 percent of GDP in 1950 to nearly 9 percent today (Philippon 2007). The United States lost its longtime trade surplus in the early 1970s, and its current account surplus in the early 1980s. Its  </w:t>
      </w:r>
      <w:r w:rsidRPr="006828AE">
        <w:rPr>
          <w:rFonts w:cs="Times New Roman"/>
          <w:i/>
          <w:szCs w:val="24"/>
        </w:rPr>
        <w:t>net</w:t>
      </w:r>
      <w:r w:rsidRPr="006828AE">
        <w:rPr>
          <w:rFonts w:cs="Times New Roman"/>
          <w:szCs w:val="24"/>
        </w:rPr>
        <w:t xml:space="preserve"> international creditor position, measured by our CWI indicator, also has been negative since the early 1990s. The U.S.’ official reserves (FWFX) are small, because its home money is the world’s reserve currency. Overall, the U.S.’ share in our SS indicator is about the same as that of the Euro-17 and less than that of Japan. </w:t>
      </w:r>
    </w:p>
    <w:p w:rsidR="007264D8" w:rsidRDefault="007264D8" w:rsidP="00751132">
      <w:pPr>
        <w:rPr>
          <w:rFonts w:cs="Times New Roman"/>
          <w:szCs w:val="24"/>
        </w:rPr>
      </w:pPr>
    </w:p>
    <w:p w:rsidR="002964C4" w:rsidRPr="006828AE" w:rsidRDefault="002964C4" w:rsidP="00751132">
      <w:pPr>
        <w:rPr>
          <w:rFonts w:cs="Times New Roman"/>
          <w:szCs w:val="24"/>
        </w:rPr>
      </w:pPr>
      <w:r w:rsidRPr="006828AE">
        <w:rPr>
          <w:rFonts w:cs="Times New Roman"/>
          <w:szCs w:val="24"/>
        </w:rPr>
        <w:tab/>
        <w:t xml:space="preserve">On the other hand, the U.S. remains overwhelmingly dominant in global financial market transactions. Its share of transactions (ST) rises from 45 to 48 percent of the world over the study years. Here the U.S.’ capability reflects its role as a large trading state: U.S. citizens participated as either buyer or seller in about 12 percent of all international trading contracts (STS) in 2010. Moreover, U.S. investors and corporate borrowers dominate global financial transactions, shown </w:t>
      </w:r>
      <w:r w:rsidRPr="006828AE">
        <w:rPr>
          <w:rFonts w:cs="Times New Roman"/>
          <w:szCs w:val="24"/>
        </w:rPr>
        <w:lastRenderedPageBreak/>
        <w:t xml:space="preserve">in our MSIF indicator. In 2010, Americans were on either one or the other side in an astonishing 68 percent (up from 54 percent in 1995) of all outstanding cross-border financial contracts worldwide, excluding holdings of official foreign exchange reserves. Finally, the U.S. dollar remains overwhelmingly the currency of choice for global foreign exchange holdings (CDSR). Although down from its high of about 73 percent of allocated reserves during the creation of Europe’s single currency, the U.S.’ share remains well above 60 percent. Yet the U.S.’ enormous financial resources in significant measure represent retrospective capabilities, not forward looking ones. Where it once had a trade surplus, and later was a net international creditor, it no longer holds either position. Moreover, the U.S.’ enormous presence in world financial markets is related to its reserve currency hegemony, the underlying basis for which gradually is eroding. This is the financial profile of a mature, not a relatively rising, state (Subramanian 2011; Schwartz 2010; Frieden 2007). </w:t>
      </w:r>
    </w:p>
    <w:p w:rsidR="007264D8" w:rsidRDefault="007264D8" w:rsidP="00751132">
      <w:pPr>
        <w:rPr>
          <w:rFonts w:cs="Times New Roman"/>
          <w:szCs w:val="24"/>
        </w:rPr>
      </w:pPr>
    </w:p>
    <w:p w:rsidR="002964C4" w:rsidRPr="006828AE" w:rsidRDefault="002964C4" w:rsidP="00751132">
      <w:pPr>
        <w:rPr>
          <w:rFonts w:cs="Times New Roman"/>
          <w:szCs w:val="24"/>
        </w:rPr>
      </w:pPr>
      <w:r w:rsidRPr="006828AE">
        <w:rPr>
          <w:rFonts w:cs="Times New Roman"/>
          <w:szCs w:val="24"/>
        </w:rPr>
        <w:tab/>
        <w:t>Britain today is much smaller than the United States, but has a similar financial profile. Its strengths as an owner of financial assets, assessed via the SS index, are entirely due to its large economy (EW) and sophisticated domestic financial sector (FWD). It cannot accumulate foreign exchange (FWFX), even if it wished to, as it also lacks a current account surplus (CAS), and is no longer a net foreign investor (CWI). In the 1990s the UK made the decision not to join the single currency, but instead to open up its domestic financial markets and to promote itself as an international financial center. Its presence as both an international investor and a recipient of foreign funds (MSIF) is considerable for a single country, and rose over our study period, reaching almost 11 percent in 2007, although falling back to about 7 percent subsequently. However, Britain’s decision not to join the Eurozone has meant that a shrinking share of international reserves are held in pounds (CDSR). Some eurozone officials, including in December 2012 French central bank governor Christian Noyer, have demanded that eurozone governments employ regulatory levers to move euro-denominated financial trading back to the continent (Scott 2012). Such policies would severely impact Britain’s twenty-first century financial ambitions.</w:t>
      </w:r>
    </w:p>
    <w:p w:rsidR="007264D8" w:rsidRDefault="007264D8" w:rsidP="00751132">
      <w:pPr>
        <w:rPr>
          <w:rFonts w:cs="Times New Roman"/>
          <w:szCs w:val="24"/>
        </w:rPr>
      </w:pPr>
    </w:p>
    <w:p w:rsidR="002964C4" w:rsidRPr="006828AE" w:rsidRDefault="002964C4" w:rsidP="00751132">
      <w:pPr>
        <w:rPr>
          <w:rFonts w:cs="Times New Roman"/>
          <w:szCs w:val="24"/>
        </w:rPr>
      </w:pPr>
      <w:r w:rsidRPr="006828AE">
        <w:rPr>
          <w:rFonts w:cs="Times New Roman"/>
          <w:szCs w:val="24"/>
        </w:rPr>
        <w:tab/>
        <w:t xml:space="preserve">The second pattern is that of Western Europe. The Euro-17 group logs a substantial and slightly rising share of financial and related stocks, our SS index, shown in Figure 7. The eurozone is a large economy (EW) and most countries have large home financial sectors (FWD). Its growth since 1995 is entirely due to a dramatic increase in its net foreign creditor position (CWI), which is partly an artifact of the way we constructed our index. Almost all of the increase is due to Germany, which had no net international financial surplus until 2002, but by 2010 had about 23 percent of the global share of outstanding cross-border financial obligations. But most of Germany’s loans and investments are intra-European; if the Euro-17 were to be considered as a single economy, most of these transactions would become domestic financial contracts, counted in our FWD indicator instead. The Euro-17’s SS profile also is the most balanced, with strengths in the size of their domestic economies (EW), domestic financial sectors (FWD), and international financial stocks (CWI). In terms of its share of transactions, ST, the Eurozone held steady, at least through the end of our data in 2010, its substantial global share dependent on being important traders (often with one another) (TST), on extensive cross-border financial links (MSIF), and on growing international use of the euro (CDSR). </w:t>
      </w:r>
    </w:p>
    <w:p w:rsidR="007264D8" w:rsidRDefault="007264D8" w:rsidP="00751132">
      <w:pPr>
        <w:rPr>
          <w:rFonts w:cs="Times New Roman"/>
          <w:szCs w:val="24"/>
        </w:rPr>
      </w:pPr>
    </w:p>
    <w:p w:rsidR="002964C4" w:rsidRPr="006828AE" w:rsidRDefault="002964C4" w:rsidP="00751132">
      <w:pPr>
        <w:rPr>
          <w:rFonts w:cs="Times New Roman"/>
          <w:szCs w:val="24"/>
        </w:rPr>
      </w:pPr>
      <w:r w:rsidRPr="006828AE">
        <w:rPr>
          <w:rFonts w:cs="Times New Roman"/>
          <w:szCs w:val="24"/>
        </w:rPr>
        <w:lastRenderedPageBreak/>
        <w:tab/>
        <w:t>Japan’s international financial profile represents a third pattern of a mature economy.  Its’ share of the world’s financial and related stocks (SS) is impressive. After the U.S., Japan has the world’s largest and deepest domestic financial sector (FWD). Although its relative size shrunk by half during our fifteen year study period, Japan’s domestically-held financial assets still represented about 17</w:t>
      </w:r>
      <w:r w:rsidRPr="006828AE">
        <w:rPr>
          <w:rFonts w:cs="Times New Roman"/>
          <w:i/>
          <w:szCs w:val="24"/>
        </w:rPr>
        <w:t xml:space="preserve"> </w:t>
      </w:r>
      <w:r w:rsidRPr="006828AE">
        <w:rPr>
          <w:rFonts w:cs="Times New Roman"/>
          <w:szCs w:val="24"/>
        </w:rPr>
        <w:t xml:space="preserve">percent of the global total in 2010. In other respects, it has an opposite profile from the U.S. Japan is the world’s creditor, bar none, accounting for an astonishing 96 percent of global holdings of net financial assets (CWI) in 1995 and retaining a still remarkable 70 percent share in 2010, despite two decades of very slow growth. Japan was the largest single holder of reserves (FWFX) until China passed it in the early 2000s, and retains a huge share. But Japan presents an anomaly, as its profile in global financial </w:t>
      </w:r>
      <w:r w:rsidRPr="006828AE">
        <w:rPr>
          <w:rFonts w:cs="Times New Roman"/>
          <w:i/>
          <w:szCs w:val="24"/>
        </w:rPr>
        <w:t>markets</w:t>
      </w:r>
      <w:r w:rsidRPr="006828AE">
        <w:rPr>
          <w:rFonts w:cs="Times New Roman"/>
          <w:szCs w:val="24"/>
        </w:rPr>
        <w:t xml:space="preserve"> is thin (see Figure 8). Japan’s significance as a player in international financial transactions (MSIF) always has been much smaller than that of the U.S, at least partly because Japan has never really opened its domestic financial markets to foreign investors. Japan’s share of global financial contracts (MSIF) plummeted from about 23 percent of the global total in 1995 to only 6 percent in 2010. Although Japan remains the largest international creditor, its public debt is among the highest in the world—but is almost all held domestically.</w:t>
      </w:r>
      <w:r w:rsidRPr="006828AE">
        <w:rPr>
          <w:rStyle w:val="EndnoteReference"/>
          <w:rFonts w:cs="Times New Roman"/>
          <w:szCs w:val="24"/>
        </w:rPr>
        <w:endnoteReference w:id="8"/>
      </w:r>
      <w:r w:rsidRPr="006828AE">
        <w:rPr>
          <w:rFonts w:cs="Times New Roman"/>
          <w:szCs w:val="24"/>
        </w:rPr>
        <w:t xml:space="preserve"> Overall, Japan possesses ample foreign exchange resources (FWFX) to shield itself from direct external financial contagion. Yet it maintains a surprisingly low profile in both world financial markets and global financial governance.</w:t>
      </w:r>
    </w:p>
    <w:p w:rsidR="007264D8" w:rsidRDefault="007264D8" w:rsidP="00751132">
      <w:pPr>
        <w:rPr>
          <w:rFonts w:cs="Times New Roman"/>
          <w:szCs w:val="24"/>
        </w:rPr>
      </w:pPr>
    </w:p>
    <w:p w:rsidR="002964C4" w:rsidRPr="006828AE" w:rsidRDefault="002964C4" w:rsidP="00751132">
      <w:pPr>
        <w:rPr>
          <w:rFonts w:cs="Times New Roman"/>
          <w:szCs w:val="24"/>
        </w:rPr>
      </w:pPr>
      <w:r w:rsidRPr="006828AE">
        <w:rPr>
          <w:rFonts w:cs="Times New Roman"/>
          <w:szCs w:val="24"/>
        </w:rPr>
        <w:tab/>
        <w:t>Finally we consider the pattern of the BRICS and other major emerging powers. As noted, China has expanded its shares in all five indices, as have India, Brazil, and Russia (although data on the size of Russia’s domestic financial sector, FWD, are unavailable, anecdotal evidence suggests that it is expanding, if erratically so). Figure 7 reveals that, although each of the four original BRICs is among the top fifteen in either or both of our SS or ST indices, their domestic financial sectors (FWD) remain small compared to those of the U.S., the Euro-17, or Japan. They are not yet net international creditors (CWI). What the BRICS, especially China, do possess are rapidly expanding economies (EW) and enormous and growing foreign exchange reserves (FWFX). These reserves help them defend against currency crises, but also represent an enormous opportunity cost, as many of these reserves are held in investments, including U.S. treasury securities, earning very little interest. These are assets that may be accumulated quickly, and are the counterpart of large current account surpluses. China’s share of the global current account surplus (CAS) grew from 0.6 percent in 1995 to about 23 percent by 2010.</w:t>
      </w:r>
    </w:p>
    <w:p w:rsidR="007264D8" w:rsidRDefault="007264D8" w:rsidP="00751132">
      <w:pPr>
        <w:rPr>
          <w:rFonts w:cs="Times New Roman"/>
          <w:szCs w:val="24"/>
        </w:rPr>
      </w:pPr>
    </w:p>
    <w:p w:rsidR="002964C4" w:rsidRPr="006828AE" w:rsidRDefault="002964C4" w:rsidP="00751132">
      <w:pPr>
        <w:rPr>
          <w:rFonts w:cs="Times New Roman"/>
          <w:szCs w:val="24"/>
        </w:rPr>
      </w:pPr>
      <w:r w:rsidRPr="006828AE">
        <w:rPr>
          <w:rFonts w:cs="Times New Roman"/>
          <w:szCs w:val="24"/>
        </w:rPr>
        <w:tab/>
        <w:t xml:space="preserve">None of the BRICS, China included, yet bulks large in global market transactions. Their trade (TST) is substantial and growing rapidly. They are participating more in global investments, but together totaled only about 3 percent of outstanding cross-border contracts (MSIF) in 2010. Nor are their currencies used by others to hold official foreign exchange reserves—yet. China, however, openly has committed itself to a strategy of promoting the renminbi/yuan as an international currency for both reserve and transactions uses, and explicitly understands this plan as a means of garnering capabilities that will be useful not only to protect itself from future financial crises but for projecting international political influence (Cohen 2012). For the moment, the other BRICS countries remain willing to perceive their political and financial interests as parallel to those of China’s leadership (Armijo and Roberts forthcoming). China, and to a lesser extent other emerging economies such as the other BRICS, presents the classic financial profile of a relatively rising state. </w:t>
      </w:r>
    </w:p>
    <w:p w:rsidR="007264D8" w:rsidRDefault="007264D8" w:rsidP="00D511F3">
      <w:pPr>
        <w:rPr>
          <w:rFonts w:cs="Times New Roman"/>
          <w:szCs w:val="24"/>
        </w:rPr>
      </w:pPr>
    </w:p>
    <w:p w:rsidR="002964C4" w:rsidRPr="006828AE" w:rsidRDefault="002964C4" w:rsidP="00D511F3">
      <w:pPr>
        <w:rPr>
          <w:rFonts w:cs="Times New Roman"/>
          <w:szCs w:val="24"/>
        </w:rPr>
      </w:pPr>
      <w:r w:rsidRPr="006828AE">
        <w:rPr>
          <w:rFonts w:cs="Times New Roman"/>
          <w:szCs w:val="24"/>
        </w:rPr>
        <w:tab/>
        <w:t xml:space="preserve">South Korea and Saudi Arabia, the non-BRICS, but non-traditional powers with strong profiles in our data, appear in the top ranks of financial powers due mainly due to their strengths as large trading states (TST) with large current account surpluses (CAS), enabling them to accumulate significant foreign exchange reserves (FWFX). South Korea, in addition, demonstrates the pattern of a state that has transitioned from a developing to a high income, industrialized economy. It is today a small net foreign investor (CWI), and also has expanded its domestic financial sector (FWD), now about half the size of Canada’s. </w:t>
      </w:r>
    </w:p>
    <w:p w:rsidR="002964C4" w:rsidRPr="006828AE" w:rsidRDefault="002964C4" w:rsidP="00751132">
      <w:pPr>
        <w:rPr>
          <w:rFonts w:cs="Times New Roman"/>
          <w:szCs w:val="24"/>
        </w:rPr>
      </w:pPr>
    </w:p>
    <w:p w:rsidR="002964C4" w:rsidRPr="006828AE" w:rsidRDefault="002964C4" w:rsidP="00751132">
      <w:pPr>
        <w:rPr>
          <w:rFonts w:cs="Times New Roman"/>
          <w:szCs w:val="24"/>
        </w:rPr>
      </w:pPr>
      <w:r w:rsidRPr="006828AE">
        <w:rPr>
          <w:rFonts w:cs="Times New Roman"/>
          <w:b/>
          <w:szCs w:val="24"/>
        </w:rPr>
        <w:t>V. Conclusions and plans for further research</w:t>
      </w:r>
    </w:p>
    <w:p w:rsidR="007264D8" w:rsidRDefault="007264D8" w:rsidP="00751132">
      <w:pPr>
        <w:rPr>
          <w:rFonts w:cs="Times New Roman"/>
          <w:b/>
          <w:szCs w:val="24"/>
        </w:rPr>
      </w:pPr>
    </w:p>
    <w:p w:rsidR="002964C4" w:rsidRPr="006828AE" w:rsidRDefault="002964C4" w:rsidP="00751132">
      <w:pPr>
        <w:rPr>
          <w:rFonts w:cs="Times New Roman"/>
          <w:szCs w:val="24"/>
        </w:rPr>
      </w:pPr>
      <w:r w:rsidRPr="006828AE">
        <w:rPr>
          <w:rFonts w:cs="Times New Roman"/>
          <w:b/>
          <w:szCs w:val="24"/>
        </w:rPr>
        <w:tab/>
      </w:r>
      <w:r w:rsidRPr="006828AE">
        <w:rPr>
          <w:rFonts w:cs="Times New Roman"/>
          <w:szCs w:val="24"/>
        </w:rPr>
        <w:t xml:space="preserve">In all, our results suggest the virtues of augmenting traditional indices of interstate capabilities with new indices assessing financial capabilities. The paper profiled five alternative indices. We found that--for studies focused exclusively on the current period--our new “power” index, the Contemporary Capabilities Index (CCI) probably improves on the older Composite Index of National Capability (CINC), although it also is far from perfect. Three financial indices revealed mutually-consistent trends over time. However, the Share of Stocks Index (SS), measuring national control over financial and economic assets, and Share of Transactions Index (ST), measuring national presence in various financial and closely-related markets, more plausibly estimated the relative position of major countries vis-à-vis one another than did the third financial index we constructed, the Correlates of Monetary Capability Index (CMCI). </w:t>
      </w:r>
    </w:p>
    <w:p w:rsidR="007264D8" w:rsidRDefault="007264D8" w:rsidP="001D7A4F">
      <w:pPr>
        <w:rPr>
          <w:rFonts w:cs="Times New Roman"/>
          <w:szCs w:val="24"/>
        </w:rPr>
      </w:pPr>
    </w:p>
    <w:p w:rsidR="002964C4" w:rsidRPr="006828AE" w:rsidRDefault="002964C4" w:rsidP="001D7A4F">
      <w:pPr>
        <w:rPr>
          <w:rFonts w:cs="Times New Roman"/>
          <w:szCs w:val="24"/>
        </w:rPr>
      </w:pPr>
      <w:r w:rsidRPr="006828AE">
        <w:rPr>
          <w:rFonts w:cs="Times New Roman"/>
          <w:szCs w:val="24"/>
        </w:rPr>
        <w:tab/>
        <w:t>Somewhat to our surprise, the share of global capabilities available to the United States has hardly budged during this recent period—no matter which of the five alternative indices one consults. Four of the five indices each suggest that the U.S.’ share of total world material and financial resources has been between about 12 and 20 percent. Only the ST, which tracks a country or group’s significance in world financial markets, evaluates the U.S. at a significantly different level: here the U.S.’ share consistently has hovered at around half of the global total.  In terms of its financial and monetary profile, the U.S. dominates in particular due to the size of its domestic financial market (FWD), its centrality to global financial trading (MSIF), and as the home country of the world’s major reserve currency (CDSR). Our findings with respect to the U.S. confirm the judgment of Ikenberry, Mastanduno, and Wohlforth (2009) that the interstate distribution of capabilities remains unipolar (with one country displaying a significantly larger share of capabilities than any other single country), though by no means hegemonic (defined as a single country whose share of resources is approximately equal to those of all of the other major players). Germany, perhaps the world’s fourth financial power (after the big three of the U.S., China, and Japan), has increased its relative position modestly, though this might  no longer be true should the eurozone collapse. The relative capabilities of the other major advanced industrial countries are eroding—most rapidly in the case of Japan, which nonetheless remains a top, financial power, although one that has been relatively unassertive in global economic and financial governance.</w:t>
      </w:r>
    </w:p>
    <w:p w:rsidR="007264D8" w:rsidRDefault="007264D8" w:rsidP="00086F8D">
      <w:pPr>
        <w:rPr>
          <w:rFonts w:cs="Times New Roman"/>
          <w:szCs w:val="24"/>
        </w:rPr>
      </w:pPr>
    </w:p>
    <w:p w:rsidR="002964C4" w:rsidRPr="006828AE" w:rsidRDefault="002964C4" w:rsidP="00086F8D">
      <w:r w:rsidRPr="006828AE">
        <w:rPr>
          <w:rFonts w:cs="Times New Roman"/>
          <w:szCs w:val="24"/>
        </w:rPr>
        <w:tab/>
        <w:t xml:space="preserve">Although China and the other emerging economies are rapidly increasing their share of relevant global capabilities, they have thus far primarily obtained “defensive” capabilities such as high foreign exchange reserves, intended to protect against financial contagion, not those potentially “assertive” financial resources, such as a strong net creditor position or a dominant </w:t>
      </w:r>
      <w:r w:rsidRPr="006828AE">
        <w:rPr>
          <w:rFonts w:cs="Times New Roman"/>
          <w:szCs w:val="24"/>
        </w:rPr>
        <w:lastRenderedPageBreak/>
        <w:t xml:space="preserve">position in global financial governance, that may be most useful for supporting a country’s larger foreign policy goals (Armijo and Katada 2012). Nonetheless, the direction of international change clearly is toward growing multipolarity across a wide spectrum of financial capabilities. </w:t>
      </w:r>
    </w:p>
    <w:p w:rsidR="007264D8" w:rsidRDefault="007264D8" w:rsidP="00751132">
      <w:pPr>
        <w:rPr>
          <w:rFonts w:cs="Times New Roman"/>
          <w:szCs w:val="24"/>
        </w:rPr>
      </w:pPr>
    </w:p>
    <w:p w:rsidR="002964C4" w:rsidRPr="006828AE" w:rsidRDefault="002964C4" w:rsidP="00751132">
      <w:pPr>
        <w:rPr>
          <w:rFonts w:cs="Times New Roman"/>
        </w:rPr>
      </w:pPr>
      <w:r w:rsidRPr="006828AE">
        <w:rPr>
          <w:rFonts w:cs="Times New Roman"/>
          <w:szCs w:val="24"/>
        </w:rPr>
        <w:tab/>
        <w:t xml:space="preserve">Our research project constitutes a work in progress. We see two immediate directions for future work. One direction </w:t>
      </w:r>
      <w:r w:rsidRPr="006828AE">
        <w:rPr>
          <w:rFonts w:cs="Times New Roman"/>
        </w:rPr>
        <w:t xml:space="preserve">will be to apply this type of analysis to theoretically-compelling subsystems of the global political economy in order to understand the relative financial capabilities of groups of related states, such as the states within a world region, whether defined by geographic or cultural proximity or other types of ties. We may thus gain insight into topics such as the contribution of regional capability distributions to regional monetary arrangements. </w:t>
      </w:r>
    </w:p>
    <w:p w:rsidR="007264D8" w:rsidRDefault="007264D8" w:rsidP="00751132">
      <w:pPr>
        <w:rPr>
          <w:rFonts w:cs="Times New Roman"/>
          <w:szCs w:val="24"/>
        </w:rPr>
      </w:pPr>
    </w:p>
    <w:p w:rsidR="00897842" w:rsidRPr="006828AE" w:rsidRDefault="002964C4" w:rsidP="00751132">
      <w:pPr>
        <w:rPr>
          <w:rFonts w:cs="Times New Roman"/>
        </w:rPr>
      </w:pPr>
      <w:r w:rsidRPr="006828AE">
        <w:rPr>
          <w:rFonts w:cs="Times New Roman"/>
          <w:szCs w:val="24"/>
        </w:rPr>
        <w:tab/>
        <w:t xml:space="preserve">A second future research direction will be to improve the indices and components themselves. For example, we believe we have undercounted the actual international financial capabilities of the major advanced industrial democracies, including the U.S. For example, we lack any measure of the global systemic importance of a country’s banks and other transnational financial </w:t>
      </w:r>
      <w:r w:rsidRPr="006828AE">
        <w:rPr>
          <w:rFonts w:cs="Times New Roman"/>
          <w:i/>
          <w:szCs w:val="24"/>
        </w:rPr>
        <w:t>institutions</w:t>
      </w:r>
      <w:r w:rsidRPr="006828AE">
        <w:rPr>
          <w:rFonts w:cs="Times New Roman"/>
          <w:szCs w:val="24"/>
        </w:rPr>
        <w:t xml:space="preserve">. Intriguingly, the belated realization by this paper’s authors of the importance of assessing financial institutions, alongside financial assets and markets, mirrors the recent trajectory of global regulators. In November 2011, and as a direct result of the global crisis of 2008-9, the Basle Committee on Banking Supervision and the Financial Stability Board (successor to the FSF) jointly issued a report identifying 29 banks worldwide as “global systemically important financial institutions” (GSIFIs), in other words, banks too big to allow to fail (FSB 2011). </w:t>
      </w:r>
      <w:r w:rsidR="004A2B3A" w:rsidRPr="006828AE">
        <w:rPr>
          <w:rFonts w:cs="Times New Roman"/>
          <w:szCs w:val="24"/>
        </w:rPr>
        <w:t>Not surprisingly</w:t>
      </w:r>
      <w:r w:rsidR="00897842" w:rsidRPr="006828AE">
        <w:rPr>
          <w:rFonts w:cs="Times New Roman"/>
          <w:szCs w:val="24"/>
        </w:rPr>
        <w:t>, o</w:t>
      </w:r>
      <w:r w:rsidR="00744610" w:rsidRPr="006828AE">
        <w:rPr>
          <w:rFonts w:cs="Times New Roman"/>
          <w:szCs w:val="24"/>
        </w:rPr>
        <w:t xml:space="preserve">nly one GSIFI </w:t>
      </w:r>
      <w:r w:rsidR="00897842" w:rsidRPr="006828AE">
        <w:rPr>
          <w:rFonts w:cs="Times New Roman"/>
          <w:szCs w:val="24"/>
        </w:rPr>
        <w:t xml:space="preserve">so far </w:t>
      </w:r>
      <w:r w:rsidR="00744610" w:rsidRPr="006828AE">
        <w:rPr>
          <w:rFonts w:cs="Times New Roman"/>
          <w:szCs w:val="24"/>
        </w:rPr>
        <w:t xml:space="preserve">is headquartered outside the historic OECD: the public sector Bank of China. </w:t>
      </w:r>
      <w:r w:rsidR="00552127" w:rsidRPr="006828AE">
        <w:rPr>
          <w:rFonts w:cs="Times New Roman"/>
        </w:rPr>
        <w:t xml:space="preserve">In the future, governments of faster-growing </w:t>
      </w:r>
      <w:r w:rsidR="00662E91" w:rsidRPr="006828AE">
        <w:rPr>
          <w:rFonts w:cs="Times New Roman"/>
        </w:rPr>
        <w:t xml:space="preserve">emerging </w:t>
      </w:r>
      <w:r w:rsidR="00552127" w:rsidRPr="006828AE">
        <w:rPr>
          <w:rFonts w:cs="Times New Roman"/>
        </w:rPr>
        <w:t xml:space="preserve">economies may be expected promote their own institutions, as national ownership of such important institutions accords states tremendous </w:t>
      </w:r>
      <w:r w:rsidR="00D213A9" w:rsidRPr="006828AE">
        <w:rPr>
          <w:rFonts w:cs="Times New Roman"/>
          <w:i/>
        </w:rPr>
        <w:t xml:space="preserve">de facto </w:t>
      </w:r>
      <w:r w:rsidR="00552127" w:rsidRPr="006828AE">
        <w:rPr>
          <w:rFonts w:cs="Times New Roman"/>
        </w:rPr>
        <w:t xml:space="preserve">influence </w:t>
      </w:r>
      <w:r w:rsidR="004A2B3A" w:rsidRPr="006828AE">
        <w:rPr>
          <w:rFonts w:cs="Times New Roman"/>
        </w:rPr>
        <w:t xml:space="preserve">in </w:t>
      </w:r>
      <w:r w:rsidR="00086F8D" w:rsidRPr="006828AE">
        <w:rPr>
          <w:rFonts w:cs="Times New Roman"/>
        </w:rPr>
        <w:t xml:space="preserve">transnational </w:t>
      </w:r>
      <w:r w:rsidR="00D213A9" w:rsidRPr="006828AE">
        <w:rPr>
          <w:rFonts w:cs="Times New Roman"/>
        </w:rPr>
        <w:t xml:space="preserve">and even multilateral </w:t>
      </w:r>
      <w:r w:rsidR="004A2B3A" w:rsidRPr="006828AE">
        <w:rPr>
          <w:rFonts w:cs="Times New Roman"/>
        </w:rPr>
        <w:t>global financial governance</w:t>
      </w:r>
      <w:r w:rsidR="00897842" w:rsidRPr="006828AE">
        <w:rPr>
          <w:rFonts w:cs="Times New Roman"/>
        </w:rPr>
        <w:t>.</w:t>
      </w:r>
      <w:r w:rsidR="00A04BB0" w:rsidRPr="006828AE">
        <w:rPr>
          <w:rFonts w:cs="Times New Roman"/>
        </w:rPr>
        <w:tab/>
      </w:r>
    </w:p>
    <w:p w:rsidR="007264D8" w:rsidRDefault="007264D8" w:rsidP="00751132">
      <w:pPr>
        <w:rPr>
          <w:rFonts w:cs="Times New Roman"/>
        </w:rPr>
      </w:pPr>
    </w:p>
    <w:p w:rsidR="00A6522A" w:rsidRPr="006828AE" w:rsidRDefault="00897842" w:rsidP="00751132">
      <w:pPr>
        <w:rPr>
          <w:rFonts w:cs="Times New Roman"/>
          <w:szCs w:val="24"/>
        </w:rPr>
      </w:pPr>
      <w:r w:rsidRPr="006828AE">
        <w:rPr>
          <w:rFonts w:cs="Times New Roman"/>
        </w:rPr>
        <w:tab/>
      </w:r>
      <w:r w:rsidR="009B600C" w:rsidRPr="006828AE">
        <w:rPr>
          <w:rFonts w:cs="Times New Roman"/>
        </w:rPr>
        <w:t>In closing we turn again to the challenges with which we began. We wanted to understand whether the world was becoming more multipolar, and if so, when and how. We also wished to investigate the degree to which one could think about the relative capabilities of sovereign states in financial rather than strictly military-political terms. To do this we began with a brief inquiry into concepts of “power” in international politics</w:t>
      </w:r>
      <w:r w:rsidR="00BA42F0" w:rsidRPr="006828AE">
        <w:rPr>
          <w:rFonts w:cs="Times New Roman"/>
        </w:rPr>
        <w:t xml:space="preserve"> and finance</w:t>
      </w:r>
      <w:r w:rsidR="009B600C" w:rsidRPr="006828AE">
        <w:rPr>
          <w:rFonts w:cs="Times New Roman"/>
        </w:rPr>
        <w:t xml:space="preserve">. While we agree with those who claim that </w:t>
      </w:r>
      <w:r w:rsidR="00BA42F0" w:rsidRPr="006828AE">
        <w:rPr>
          <w:rFonts w:cs="Times New Roman"/>
        </w:rPr>
        <w:t>“</w:t>
      </w:r>
      <w:r w:rsidR="009B600C" w:rsidRPr="006828AE">
        <w:rPr>
          <w:rFonts w:cs="Times New Roman"/>
        </w:rPr>
        <w:t>power</w:t>
      </w:r>
      <w:r w:rsidR="00BA42F0" w:rsidRPr="006828AE">
        <w:rPr>
          <w:rFonts w:cs="Times New Roman"/>
        </w:rPr>
        <w:t>”</w:t>
      </w:r>
      <w:r w:rsidR="009B600C" w:rsidRPr="006828AE">
        <w:rPr>
          <w:rFonts w:cs="Times New Roman"/>
        </w:rPr>
        <w:t xml:space="preserve"> per se is inherently a relational concept, </w:t>
      </w:r>
      <w:r w:rsidR="00BA42F0" w:rsidRPr="006828AE">
        <w:rPr>
          <w:rFonts w:cs="Times New Roman"/>
        </w:rPr>
        <w:t xml:space="preserve">we think that an inquiry into the interstate distribution of capabilities, </w:t>
      </w:r>
      <w:r w:rsidRPr="006828AE">
        <w:rPr>
          <w:rFonts w:cs="Times New Roman"/>
        </w:rPr>
        <w:t xml:space="preserve">which in turn </w:t>
      </w:r>
      <w:r w:rsidR="00A67135" w:rsidRPr="006828AE">
        <w:rPr>
          <w:rFonts w:cs="Times New Roman"/>
        </w:rPr>
        <w:t xml:space="preserve">provide </w:t>
      </w:r>
      <w:r w:rsidR="00BA42F0" w:rsidRPr="006828AE">
        <w:rPr>
          <w:rFonts w:cs="Times New Roman"/>
        </w:rPr>
        <w:t xml:space="preserve">the </w:t>
      </w:r>
      <w:r w:rsidR="00BA42F0" w:rsidRPr="006828AE">
        <w:rPr>
          <w:rFonts w:cs="Times New Roman"/>
          <w:i/>
        </w:rPr>
        <w:t>potential</w:t>
      </w:r>
      <w:r w:rsidR="00BA42F0" w:rsidRPr="006828AE">
        <w:rPr>
          <w:rFonts w:cs="Times New Roman"/>
        </w:rPr>
        <w:t xml:space="preserve"> for the </w:t>
      </w:r>
      <w:r w:rsidRPr="006828AE">
        <w:rPr>
          <w:rFonts w:cs="Times New Roman"/>
        </w:rPr>
        <w:t xml:space="preserve">subsequent </w:t>
      </w:r>
      <w:r w:rsidR="00BA42F0" w:rsidRPr="006828AE">
        <w:rPr>
          <w:rFonts w:cs="Times New Roman"/>
        </w:rPr>
        <w:t>exercise of influence, is inherently a valuable exercise. We hope that this paper has contributed to demonstrating that it can be.</w:t>
      </w:r>
    </w:p>
    <w:p w:rsidR="00744610" w:rsidRPr="006828AE" w:rsidRDefault="00744610" w:rsidP="00751132">
      <w:pPr>
        <w:rPr>
          <w:rFonts w:cs="Times New Roman"/>
          <w:szCs w:val="24"/>
        </w:rPr>
      </w:pPr>
    </w:p>
    <w:p w:rsidR="00030446" w:rsidRPr="006828AE" w:rsidRDefault="00030446" w:rsidP="00751132">
      <w:pPr>
        <w:rPr>
          <w:rFonts w:cs="Times New Roman"/>
          <w:szCs w:val="24"/>
        </w:rPr>
      </w:pPr>
      <w:r w:rsidRPr="006828AE">
        <w:rPr>
          <w:rFonts w:cs="Times New Roman"/>
          <w:szCs w:val="24"/>
        </w:rPr>
        <w:br w:type="page"/>
      </w:r>
    </w:p>
    <w:p w:rsidR="00BC591F" w:rsidRPr="006828AE" w:rsidRDefault="00BC591F" w:rsidP="00D44833">
      <w:pPr>
        <w:ind w:left="720" w:hanging="720"/>
        <w:rPr>
          <w:rFonts w:cs="Times New Roman"/>
          <w:b/>
          <w:szCs w:val="24"/>
        </w:rPr>
      </w:pPr>
      <w:r w:rsidRPr="006828AE">
        <w:rPr>
          <w:rFonts w:cs="Times New Roman"/>
          <w:b/>
          <w:szCs w:val="24"/>
        </w:rPr>
        <w:lastRenderedPageBreak/>
        <w:t>References</w:t>
      </w:r>
    </w:p>
    <w:p w:rsidR="00D21028" w:rsidRPr="006828AE" w:rsidRDefault="00D21028" w:rsidP="00D44833">
      <w:pPr>
        <w:ind w:left="720" w:hanging="720"/>
        <w:rPr>
          <w:rFonts w:cs="Times New Roman"/>
          <w:b/>
          <w:szCs w:val="24"/>
        </w:rPr>
      </w:pPr>
    </w:p>
    <w:p w:rsidR="00D21028" w:rsidRPr="006828AE" w:rsidRDefault="00D21028" w:rsidP="00D44833">
      <w:pPr>
        <w:ind w:left="720" w:hanging="720"/>
        <w:rPr>
          <w:rFonts w:cs="Times New Roman"/>
          <w:szCs w:val="24"/>
        </w:rPr>
      </w:pPr>
      <w:r w:rsidRPr="006828AE">
        <w:rPr>
          <w:rFonts w:cs="Times New Roman"/>
          <w:szCs w:val="24"/>
        </w:rPr>
        <w:t>Armijo, Leslie Elliott and Saori Katada (2012) Financial Statecraft and Global Rebalancing, Paper presented at the Annual Congress of the Latin American Studies Association (LASA), San Francisco, May 24-27.</w:t>
      </w:r>
    </w:p>
    <w:p w:rsidR="00D21028" w:rsidRPr="006828AE" w:rsidRDefault="00D21028" w:rsidP="00D44833">
      <w:pPr>
        <w:ind w:left="720" w:hanging="720"/>
        <w:rPr>
          <w:rFonts w:cs="Times New Roman"/>
          <w:szCs w:val="24"/>
        </w:rPr>
      </w:pPr>
      <w:r w:rsidRPr="006828AE">
        <w:rPr>
          <w:rFonts w:cs="Times New Roman"/>
          <w:szCs w:val="24"/>
        </w:rPr>
        <w:t xml:space="preserve">Armijo, Leslie Elliott and Cynthia Roberts (forthcoming) </w:t>
      </w:r>
      <w:r w:rsidR="008A3C37" w:rsidRPr="006828AE">
        <w:rPr>
          <w:rFonts w:cs="Times New Roman"/>
          <w:szCs w:val="24"/>
        </w:rPr>
        <w:t xml:space="preserve"> The Emerging Powers and Global Governance: Why the BRICS Matter. In </w:t>
      </w:r>
      <w:r w:rsidR="008A3C37" w:rsidRPr="006828AE">
        <w:rPr>
          <w:rFonts w:cs="Times New Roman"/>
          <w:i/>
          <w:szCs w:val="24"/>
        </w:rPr>
        <w:t xml:space="preserve">Handbook of Emerging Economies </w:t>
      </w:r>
      <w:r w:rsidR="008A3C37" w:rsidRPr="006828AE">
        <w:rPr>
          <w:rFonts w:cs="Times New Roman"/>
          <w:szCs w:val="24"/>
        </w:rPr>
        <w:t>Robert Looney (Ed.), New York: Routledge.</w:t>
      </w:r>
    </w:p>
    <w:p w:rsidR="00D21028" w:rsidRPr="006828AE" w:rsidRDefault="00D21028" w:rsidP="00D44833">
      <w:pPr>
        <w:autoSpaceDE w:val="0"/>
        <w:autoSpaceDN w:val="0"/>
        <w:adjustRightInd w:val="0"/>
        <w:ind w:left="720" w:hanging="720"/>
        <w:rPr>
          <w:rFonts w:cs="Times New Roman"/>
          <w:szCs w:val="24"/>
        </w:rPr>
      </w:pPr>
      <w:r w:rsidRPr="006828AE">
        <w:rPr>
          <w:rFonts w:cs="Times New Roman"/>
          <w:szCs w:val="24"/>
        </w:rPr>
        <w:t xml:space="preserve">Bachrach, Peter and Baratz, Morton S. (1962) Two Faces of Power, </w:t>
      </w:r>
      <w:r w:rsidRPr="006828AE">
        <w:rPr>
          <w:rFonts w:cs="Times New Roman"/>
          <w:i/>
          <w:iCs/>
          <w:szCs w:val="24"/>
        </w:rPr>
        <w:t>American Political Science Review,</w:t>
      </w:r>
      <w:r w:rsidRPr="006828AE">
        <w:rPr>
          <w:rFonts w:cs="Times New Roman"/>
          <w:szCs w:val="24"/>
        </w:rPr>
        <w:t>56: 947</w:t>
      </w:r>
      <w:r w:rsidRPr="006828AE">
        <w:rPr>
          <w:rFonts w:ascii="Cambria Math" w:hAnsi="Cambria Math" w:cs="Cambria Math"/>
          <w:szCs w:val="24"/>
        </w:rPr>
        <w:t>‐</w:t>
      </w:r>
      <w:r w:rsidRPr="006828AE">
        <w:rPr>
          <w:rFonts w:cs="Times New Roman"/>
          <w:szCs w:val="24"/>
        </w:rPr>
        <w:t>52.</w:t>
      </w:r>
    </w:p>
    <w:p w:rsidR="00D21028" w:rsidRPr="006828AE" w:rsidRDefault="00D21028" w:rsidP="00D44833">
      <w:pPr>
        <w:ind w:left="720" w:hanging="720"/>
        <w:rPr>
          <w:rFonts w:cs="Times New Roman"/>
          <w:szCs w:val="24"/>
        </w:rPr>
      </w:pPr>
      <w:r w:rsidRPr="006828AE">
        <w:rPr>
          <w:rFonts w:cs="Times New Roman"/>
          <w:szCs w:val="24"/>
        </w:rPr>
        <w:t xml:space="preserve">Baldwin, David A. (1985) </w:t>
      </w:r>
      <w:r w:rsidRPr="006828AE">
        <w:rPr>
          <w:rFonts w:cs="Times New Roman"/>
          <w:i/>
          <w:iCs/>
          <w:szCs w:val="24"/>
        </w:rPr>
        <w:t xml:space="preserve">Economic Statecraft. </w:t>
      </w:r>
      <w:r w:rsidRPr="006828AE">
        <w:rPr>
          <w:rFonts w:cs="Times New Roman"/>
          <w:szCs w:val="24"/>
        </w:rPr>
        <w:t>Princeton: Princeton University Press.</w:t>
      </w:r>
    </w:p>
    <w:p w:rsidR="00D21028" w:rsidRPr="006828AE" w:rsidRDefault="00D21028" w:rsidP="00D44833">
      <w:pPr>
        <w:ind w:left="720" w:hanging="720"/>
        <w:rPr>
          <w:rFonts w:cs="Times New Roman"/>
          <w:szCs w:val="24"/>
        </w:rPr>
      </w:pPr>
      <w:r w:rsidRPr="006828AE">
        <w:rPr>
          <w:rFonts w:cs="Times New Roman"/>
          <w:szCs w:val="24"/>
        </w:rPr>
        <w:t xml:space="preserve">Baldwin, David A. (2013) Power and International Relations. In </w:t>
      </w:r>
      <w:r w:rsidRPr="006828AE">
        <w:rPr>
          <w:rStyle w:val="Emphasis"/>
          <w:rFonts w:cs="Times New Roman"/>
          <w:szCs w:val="24"/>
        </w:rPr>
        <w:t>Handbook of International Relations</w:t>
      </w:r>
      <w:r w:rsidRPr="006828AE">
        <w:rPr>
          <w:rFonts w:cs="Times New Roman"/>
          <w:szCs w:val="24"/>
        </w:rPr>
        <w:t xml:space="preserve"> W. Carlsnaes, T. Risse, and B.A. Simmons (Ed.) 2</w:t>
      </w:r>
      <w:r w:rsidRPr="006828AE">
        <w:rPr>
          <w:rFonts w:cs="Times New Roman"/>
          <w:szCs w:val="24"/>
          <w:vertAlign w:val="superscript"/>
        </w:rPr>
        <w:t>nd</w:t>
      </w:r>
      <w:r w:rsidRPr="006828AE">
        <w:rPr>
          <w:rFonts w:cs="Times New Roman"/>
          <w:szCs w:val="24"/>
        </w:rPr>
        <w:t xml:space="preserve"> Ed., Thousand Oaks, CA: SAGE Publications, p. 273-297.</w:t>
      </w:r>
    </w:p>
    <w:p w:rsidR="00D21028" w:rsidRPr="006828AE" w:rsidRDefault="00D21028" w:rsidP="00D44833">
      <w:pPr>
        <w:ind w:left="720" w:hanging="720"/>
        <w:rPr>
          <w:rFonts w:cs="Times New Roman"/>
          <w:szCs w:val="24"/>
        </w:rPr>
      </w:pPr>
      <w:r w:rsidRPr="006828AE">
        <w:rPr>
          <w:rFonts w:cs="Times New Roman"/>
          <w:szCs w:val="24"/>
        </w:rPr>
        <w:t xml:space="preserve">Bank for International Settlements (BIS) (2010) </w:t>
      </w:r>
      <w:r w:rsidRPr="006828AE">
        <w:rPr>
          <w:rFonts w:cs="Times New Roman"/>
          <w:i/>
          <w:szCs w:val="24"/>
        </w:rPr>
        <w:t xml:space="preserve">Triennial Central Bank Survey: Report on Global Foreign Exchange Market Activity in 2010. </w:t>
      </w:r>
      <w:r w:rsidRPr="006828AE">
        <w:rPr>
          <w:rFonts w:cs="Times New Roman"/>
          <w:szCs w:val="24"/>
        </w:rPr>
        <w:t>Basle: BIS, December.</w:t>
      </w:r>
    </w:p>
    <w:p w:rsidR="00D21028" w:rsidRPr="006828AE" w:rsidRDefault="00D21028" w:rsidP="00D44833">
      <w:pPr>
        <w:ind w:left="720" w:hanging="720"/>
        <w:rPr>
          <w:rFonts w:cs="Times New Roman"/>
          <w:szCs w:val="24"/>
        </w:rPr>
      </w:pPr>
      <w:r w:rsidRPr="006828AE">
        <w:rPr>
          <w:rFonts w:cs="Times New Roman"/>
          <w:szCs w:val="24"/>
        </w:rPr>
        <w:t xml:space="preserve">Barnett, M. and Duvall, R. (2005) Power in International Politics. </w:t>
      </w:r>
      <w:r w:rsidRPr="006828AE">
        <w:rPr>
          <w:rFonts w:cs="Times New Roman"/>
          <w:i/>
          <w:szCs w:val="24"/>
        </w:rPr>
        <w:t xml:space="preserve">International Organization </w:t>
      </w:r>
      <w:r w:rsidRPr="006828AE">
        <w:rPr>
          <w:rFonts w:cs="Times New Roman"/>
          <w:szCs w:val="24"/>
        </w:rPr>
        <w:t>59, Winter 2005, pp. 39-75.</w:t>
      </w:r>
    </w:p>
    <w:p w:rsidR="00D21028" w:rsidRPr="006828AE" w:rsidRDefault="00D21028" w:rsidP="00D44833">
      <w:pPr>
        <w:ind w:left="720" w:hanging="720"/>
        <w:rPr>
          <w:rFonts w:cs="Times New Roman"/>
          <w:bCs/>
          <w:szCs w:val="24"/>
        </w:rPr>
      </w:pPr>
      <w:r w:rsidRPr="006828AE">
        <w:rPr>
          <w:rFonts w:cs="Times New Roman"/>
          <w:bCs/>
          <w:szCs w:val="24"/>
        </w:rPr>
        <w:t xml:space="preserve">Bergsten, C. Fred (2008) A Partnership of Equals: How Washington Should Respond to China’s Economic Challenge, </w:t>
      </w:r>
      <w:r w:rsidRPr="006828AE">
        <w:rPr>
          <w:rFonts w:cs="Times New Roman"/>
          <w:bCs/>
          <w:i/>
          <w:szCs w:val="24"/>
        </w:rPr>
        <w:t xml:space="preserve">Foreign Affairs </w:t>
      </w:r>
      <w:r w:rsidRPr="006828AE">
        <w:rPr>
          <w:rFonts w:cs="Times New Roman"/>
          <w:bCs/>
          <w:szCs w:val="24"/>
        </w:rPr>
        <w:t>87:4, July/August.</w:t>
      </w:r>
    </w:p>
    <w:p w:rsidR="00D21028" w:rsidRPr="006828AE" w:rsidRDefault="00D21028" w:rsidP="00D44833">
      <w:pPr>
        <w:ind w:left="720" w:hanging="720"/>
        <w:rPr>
          <w:rFonts w:cs="Times New Roman"/>
          <w:szCs w:val="24"/>
        </w:rPr>
      </w:pPr>
      <w:r w:rsidRPr="006828AE">
        <w:rPr>
          <w:rFonts w:cs="Times New Roman"/>
          <w:szCs w:val="24"/>
          <w:lang w:val="de-DE"/>
        </w:rPr>
        <w:t xml:space="preserve">Borensztein, E., Cowan, K., Eichengreen, B., Panizza, U. (Eds.) </w:t>
      </w:r>
      <w:r w:rsidRPr="006828AE">
        <w:rPr>
          <w:rFonts w:cs="Times New Roman"/>
          <w:szCs w:val="24"/>
        </w:rPr>
        <w:t xml:space="preserve">(2008) </w:t>
      </w:r>
      <w:r w:rsidRPr="006828AE">
        <w:rPr>
          <w:rFonts w:cs="Times New Roman"/>
          <w:i/>
          <w:szCs w:val="24"/>
        </w:rPr>
        <w:t>Bond Markets in Latin America. On the Verge of a Big Bang?</w:t>
      </w:r>
      <w:r w:rsidRPr="006828AE">
        <w:rPr>
          <w:rFonts w:cs="Times New Roman"/>
          <w:szCs w:val="24"/>
        </w:rPr>
        <w:t xml:space="preserve"> Cambridge: MIT Press.</w:t>
      </w:r>
    </w:p>
    <w:p w:rsidR="00D21028" w:rsidRPr="006828AE" w:rsidRDefault="00D21028" w:rsidP="00D44833">
      <w:pPr>
        <w:pStyle w:val="Default"/>
        <w:ind w:left="720" w:hanging="720"/>
        <w:rPr>
          <w:iCs/>
          <w:color w:val="auto"/>
        </w:rPr>
      </w:pPr>
      <w:r w:rsidRPr="006828AE">
        <w:rPr>
          <w:color w:val="auto"/>
        </w:rPr>
        <w:t>Chiu, E.M.P. and T.D. Willet (2012) Quantitative Measures of Economic and Financial Power and the Rise of East Asia. Paper prepared for Conference on “</w:t>
      </w:r>
      <w:r w:rsidRPr="006828AE">
        <w:rPr>
          <w:iCs/>
          <w:color w:val="auto"/>
        </w:rPr>
        <w:t>Power in a Changing World Economy: Lessons from Emerging Asia,” University of California, Santa Barbara, March 30-31.</w:t>
      </w:r>
    </w:p>
    <w:p w:rsidR="00D21028" w:rsidRPr="006828AE" w:rsidRDefault="00D21028" w:rsidP="00D44833">
      <w:pPr>
        <w:ind w:left="720" w:hanging="720"/>
        <w:rPr>
          <w:rFonts w:cs="Times New Roman"/>
          <w:szCs w:val="24"/>
        </w:rPr>
      </w:pPr>
      <w:r w:rsidRPr="006828AE">
        <w:rPr>
          <w:rFonts w:cs="Times New Roman"/>
          <w:szCs w:val="24"/>
        </w:rPr>
        <w:t xml:space="preserve">Cihac, M., A. Demirguc-Kunt, E. Feyen, and R. Levine (2012) Benchmarking Financial Systems Around the World, Policy Research Working Paper #6175, Washington, D.C.: The World Bank, August. </w:t>
      </w:r>
    </w:p>
    <w:p w:rsidR="00D21028" w:rsidRPr="006828AE" w:rsidRDefault="00D21028" w:rsidP="00D44833">
      <w:pPr>
        <w:pStyle w:val="Default"/>
        <w:ind w:left="720" w:hanging="720"/>
        <w:rPr>
          <w:iCs/>
          <w:color w:val="auto"/>
        </w:rPr>
      </w:pPr>
      <w:r w:rsidRPr="006828AE">
        <w:rPr>
          <w:iCs/>
          <w:color w:val="auto"/>
        </w:rPr>
        <w:t xml:space="preserve">Cohen, B.J. (2012a)  Background Paper for </w:t>
      </w:r>
      <w:r w:rsidRPr="006828AE">
        <w:rPr>
          <w:color w:val="auto"/>
        </w:rPr>
        <w:t>Conference on “</w:t>
      </w:r>
      <w:r w:rsidRPr="006828AE">
        <w:rPr>
          <w:iCs/>
          <w:color w:val="auto"/>
        </w:rPr>
        <w:t>Power in a Changing World Economy: Lessons from Emerging Asia,” University of California, Santa Barbara, March 30-31.</w:t>
      </w:r>
    </w:p>
    <w:p w:rsidR="00D21028" w:rsidRPr="006828AE" w:rsidRDefault="00D21028" w:rsidP="00D44833">
      <w:pPr>
        <w:ind w:left="720" w:hanging="720"/>
        <w:rPr>
          <w:rFonts w:cs="Times New Roman"/>
          <w:szCs w:val="24"/>
        </w:rPr>
      </w:pPr>
      <w:r w:rsidRPr="006828AE">
        <w:rPr>
          <w:rFonts w:cs="Times New Roman"/>
          <w:szCs w:val="24"/>
        </w:rPr>
        <w:t xml:space="preserve">Cohen, B.J. (2012b) The Yuan Tomorrow? Evaluating China's Currency Internationalization Strategy. </w:t>
      </w:r>
      <w:r w:rsidRPr="006828AE">
        <w:rPr>
          <w:rStyle w:val="Emphasis"/>
          <w:rFonts w:cs="Times New Roman"/>
          <w:szCs w:val="24"/>
        </w:rPr>
        <w:t>New Political Economy</w:t>
      </w:r>
      <w:r w:rsidRPr="006828AE">
        <w:rPr>
          <w:rFonts w:cs="Times New Roman"/>
          <w:szCs w:val="24"/>
        </w:rPr>
        <w:t>, Vol. 17, No. 3.</w:t>
      </w:r>
    </w:p>
    <w:p w:rsidR="00D21028" w:rsidRPr="006828AE" w:rsidRDefault="00D21028" w:rsidP="00D44833">
      <w:pPr>
        <w:pStyle w:val="FootnoteText"/>
        <w:ind w:left="720" w:hanging="720"/>
        <w:rPr>
          <w:rFonts w:cs="Times New Roman"/>
          <w:sz w:val="24"/>
          <w:szCs w:val="24"/>
        </w:rPr>
      </w:pPr>
      <w:r w:rsidRPr="006828AE">
        <w:rPr>
          <w:rFonts w:cs="Times New Roman"/>
          <w:i/>
          <w:sz w:val="24"/>
          <w:szCs w:val="24"/>
        </w:rPr>
        <w:t xml:space="preserve">Economist </w:t>
      </w:r>
      <w:r w:rsidRPr="006828AE">
        <w:rPr>
          <w:rFonts w:cs="Times New Roman"/>
          <w:sz w:val="24"/>
          <w:szCs w:val="24"/>
        </w:rPr>
        <w:t xml:space="preserve">(2012) Goodbye Europe: What would happen if Britain left the EU?, </w:t>
      </w:r>
      <w:r w:rsidRPr="006828AE">
        <w:rPr>
          <w:rFonts w:cs="Times New Roman"/>
          <w:i/>
          <w:sz w:val="24"/>
          <w:szCs w:val="24"/>
        </w:rPr>
        <w:t xml:space="preserve">Economist, </w:t>
      </w:r>
      <w:r w:rsidRPr="006828AE">
        <w:rPr>
          <w:rFonts w:cs="Times New Roman"/>
          <w:sz w:val="24"/>
          <w:szCs w:val="24"/>
        </w:rPr>
        <w:t>December 8, pp. 23-6.</w:t>
      </w:r>
    </w:p>
    <w:p w:rsidR="00D21028" w:rsidRPr="006828AE" w:rsidRDefault="00D21028" w:rsidP="00D44833">
      <w:pPr>
        <w:ind w:left="720" w:hanging="720"/>
        <w:rPr>
          <w:rStyle w:val="Style12pt"/>
        </w:rPr>
      </w:pPr>
      <w:r w:rsidRPr="006828AE">
        <w:rPr>
          <w:rStyle w:val="Style12pt"/>
        </w:rPr>
        <w:t xml:space="preserve">Eichengreen, B. (2011) </w:t>
      </w:r>
      <w:r w:rsidRPr="006828AE">
        <w:rPr>
          <w:rStyle w:val="Style12pt"/>
          <w:i/>
        </w:rPr>
        <w:t>Exorbitant Privilege</w:t>
      </w:r>
      <w:r w:rsidRPr="006828AE">
        <w:rPr>
          <w:rStyle w:val="Style12pt"/>
        </w:rPr>
        <w:t>. Oxford: Oxford University Press.</w:t>
      </w:r>
    </w:p>
    <w:p w:rsidR="00D21028" w:rsidRPr="006828AE" w:rsidRDefault="0057096E" w:rsidP="00D44833">
      <w:pPr>
        <w:ind w:left="720" w:hanging="720"/>
        <w:rPr>
          <w:rFonts w:cs="Times New Roman"/>
          <w:szCs w:val="24"/>
        </w:rPr>
      </w:pPr>
      <w:r w:rsidRPr="006828AE">
        <w:rPr>
          <w:rFonts w:cs="Times New Roman"/>
          <w:szCs w:val="24"/>
        </w:rPr>
        <w:t>Etizioni, A. (1961)</w:t>
      </w:r>
      <w:r w:rsidR="00D21028" w:rsidRPr="006828AE">
        <w:rPr>
          <w:rFonts w:cs="Times New Roman"/>
          <w:szCs w:val="24"/>
        </w:rPr>
        <w:t xml:space="preserve"> </w:t>
      </w:r>
      <w:r w:rsidR="00D21028" w:rsidRPr="006828AE">
        <w:rPr>
          <w:rFonts w:cs="Times New Roman"/>
          <w:i/>
          <w:szCs w:val="24"/>
        </w:rPr>
        <w:t xml:space="preserve">A Comparative Analysis of Complex Organizations: On Power, Involvement, and Their Correlates. </w:t>
      </w:r>
      <w:r w:rsidR="00D21028" w:rsidRPr="006828AE">
        <w:rPr>
          <w:rFonts w:cs="Times New Roman"/>
          <w:szCs w:val="24"/>
        </w:rPr>
        <w:t>Glencoe, IL: Free Press.</w:t>
      </w:r>
    </w:p>
    <w:p w:rsidR="00D21028" w:rsidRPr="006828AE" w:rsidRDefault="00D21028" w:rsidP="00D44833">
      <w:pPr>
        <w:autoSpaceDE w:val="0"/>
        <w:autoSpaceDN w:val="0"/>
        <w:adjustRightInd w:val="0"/>
        <w:ind w:left="720" w:hanging="720"/>
        <w:rPr>
          <w:rFonts w:cs="Times New Roman"/>
          <w:szCs w:val="24"/>
        </w:rPr>
      </w:pPr>
      <w:r w:rsidRPr="006828AE">
        <w:rPr>
          <w:rFonts w:cs="Times New Roman"/>
          <w:szCs w:val="24"/>
        </w:rPr>
        <w:t>Financial Stability Board (FSB) (2011) Policy Measures to Address Systemically-Important Financial Institutions, Basle: Financial Stability Board, November 4. Consulted December 2012 at &lt;www.financialstabilityboard.org&gt;</w:t>
      </w:r>
    </w:p>
    <w:p w:rsidR="00814FE2" w:rsidRPr="006828AE" w:rsidRDefault="00814FE2" w:rsidP="00D44833">
      <w:pPr>
        <w:autoSpaceDE w:val="0"/>
        <w:autoSpaceDN w:val="0"/>
        <w:adjustRightInd w:val="0"/>
        <w:ind w:left="720" w:hanging="720"/>
        <w:rPr>
          <w:rFonts w:cs="Times New Roman"/>
          <w:szCs w:val="24"/>
        </w:rPr>
      </w:pPr>
      <w:r w:rsidRPr="006828AE">
        <w:rPr>
          <w:rFonts w:cs="Times New Roman"/>
          <w:szCs w:val="24"/>
        </w:rPr>
        <w:t xml:space="preserve">Frieden, Jeffry A. (2007) </w:t>
      </w:r>
      <w:r w:rsidRPr="006828AE">
        <w:rPr>
          <w:rFonts w:cs="Times New Roman"/>
          <w:i/>
          <w:szCs w:val="24"/>
        </w:rPr>
        <w:t xml:space="preserve">Global Capitalism: Its Fall and Rise in the Twentieth Century. </w:t>
      </w:r>
      <w:r w:rsidRPr="006828AE">
        <w:rPr>
          <w:rFonts w:cs="Times New Roman"/>
          <w:szCs w:val="24"/>
        </w:rPr>
        <w:t>New York: W.W. Norton.</w:t>
      </w:r>
    </w:p>
    <w:p w:rsidR="00D21028" w:rsidRPr="006828AE" w:rsidRDefault="00D21028" w:rsidP="00D44833">
      <w:pPr>
        <w:autoSpaceDE w:val="0"/>
        <w:autoSpaceDN w:val="0"/>
        <w:adjustRightInd w:val="0"/>
        <w:ind w:left="720" w:hanging="720"/>
        <w:rPr>
          <w:rFonts w:cs="Times New Roman"/>
          <w:szCs w:val="24"/>
        </w:rPr>
      </w:pPr>
      <w:r w:rsidRPr="006828AE">
        <w:rPr>
          <w:rFonts w:cs="Times New Roman"/>
          <w:szCs w:val="24"/>
        </w:rPr>
        <w:t xml:space="preserve">Garrett, Geoffrey and Tsebelis, George (1999) Why Resist the Temptation to Apply Power Indices to the European Union?, </w:t>
      </w:r>
      <w:r w:rsidRPr="006828AE">
        <w:rPr>
          <w:rFonts w:cs="Times New Roman"/>
          <w:i/>
          <w:iCs/>
          <w:szCs w:val="24"/>
        </w:rPr>
        <w:t xml:space="preserve">Journal of Theoretical Politics, </w:t>
      </w:r>
      <w:r w:rsidRPr="006828AE">
        <w:rPr>
          <w:rFonts w:cs="Times New Roman"/>
          <w:szCs w:val="24"/>
        </w:rPr>
        <w:t>II (3): 29J</w:t>
      </w:r>
      <w:r w:rsidRPr="006828AE">
        <w:rPr>
          <w:rFonts w:ascii="Cambria Math" w:hAnsi="Cambria Math" w:cs="Cambria Math"/>
          <w:szCs w:val="24"/>
        </w:rPr>
        <w:t>‐</w:t>
      </w:r>
      <w:r w:rsidRPr="006828AE">
        <w:rPr>
          <w:rFonts w:cs="Times New Roman"/>
          <w:szCs w:val="24"/>
        </w:rPr>
        <w:t>308.</w:t>
      </w:r>
    </w:p>
    <w:p w:rsidR="00D21028" w:rsidRPr="006828AE" w:rsidRDefault="00D21028" w:rsidP="00D44833">
      <w:pPr>
        <w:pStyle w:val="NormalWeb"/>
        <w:spacing w:before="0" w:beforeAutospacing="0" w:after="0" w:afterAutospacing="0"/>
        <w:ind w:left="720" w:hanging="720"/>
      </w:pPr>
      <w:r w:rsidRPr="006828AE">
        <w:lastRenderedPageBreak/>
        <w:t xml:space="preserve">Gramsci, Antonio (1971 [1920s]) </w:t>
      </w:r>
      <w:r w:rsidRPr="006828AE">
        <w:rPr>
          <w:i/>
        </w:rPr>
        <w:t xml:space="preserve">Selections from the Prison Notebooks. </w:t>
      </w:r>
      <w:r w:rsidRPr="006828AE">
        <w:t>Ed. By Q. Hoare and G.N.Smith. New York: International Publishers.</w:t>
      </w:r>
    </w:p>
    <w:p w:rsidR="00D21028" w:rsidRPr="006828AE" w:rsidRDefault="00D21028" w:rsidP="00D44833">
      <w:pPr>
        <w:pStyle w:val="NormalWeb"/>
        <w:spacing w:before="0" w:beforeAutospacing="0" w:after="0" w:afterAutospacing="0"/>
        <w:ind w:left="720" w:hanging="720"/>
      </w:pPr>
      <w:r w:rsidRPr="006828AE">
        <w:t xml:space="preserve">Haley, Mary Ann (2001) </w:t>
      </w:r>
      <w:r w:rsidRPr="006828AE">
        <w:rPr>
          <w:i/>
        </w:rPr>
        <w:t xml:space="preserve">Freedom and Finance: Democratization and Institutional Investors in Developing Countries. </w:t>
      </w:r>
      <w:r w:rsidRPr="006828AE">
        <w:t>New York: Palgrave Macmillan.</w:t>
      </w:r>
    </w:p>
    <w:p w:rsidR="00D21028" w:rsidRPr="006828AE" w:rsidRDefault="00D21028" w:rsidP="00D44833">
      <w:pPr>
        <w:pStyle w:val="NormalWeb"/>
        <w:spacing w:before="0" w:beforeAutospacing="0" w:after="0" w:afterAutospacing="0"/>
        <w:ind w:left="720" w:hanging="720"/>
      </w:pPr>
      <w:r w:rsidRPr="006828AE">
        <w:t xml:space="preserve">Heritage Foundation (2012) </w:t>
      </w:r>
      <w:r w:rsidRPr="006828AE">
        <w:rPr>
          <w:i/>
        </w:rPr>
        <w:t xml:space="preserve">2012 Index of Economic Freedom. </w:t>
      </w:r>
      <w:r w:rsidRPr="006828AE">
        <w:t>At &lt;</w:t>
      </w:r>
      <w:hyperlink r:id="rId14" w:history="1">
        <w:r w:rsidRPr="006828AE">
          <w:rPr>
            <w:rStyle w:val="Hyperlink"/>
            <w:color w:val="auto"/>
          </w:rPr>
          <w:t>www.heritage.org</w:t>
        </w:r>
      </w:hyperlink>
      <w:r w:rsidRPr="006828AE">
        <w:t>&gt; Consulted December 2012.</w:t>
      </w:r>
    </w:p>
    <w:p w:rsidR="00D21028" w:rsidRPr="006828AE" w:rsidRDefault="00D21028" w:rsidP="00D44833">
      <w:pPr>
        <w:ind w:left="720" w:hanging="720"/>
        <w:rPr>
          <w:rStyle w:val="textnew"/>
          <w:rFonts w:cs="Times New Roman"/>
          <w:szCs w:val="24"/>
        </w:rPr>
      </w:pPr>
      <w:r w:rsidRPr="006828AE">
        <w:rPr>
          <w:rFonts w:cs="Times New Roman"/>
          <w:szCs w:val="24"/>
        </w:rPr>
        <w:t xml:space="preserve">Ikenberry, G. John, Michael Mastanduno and William C. Wohlforth  (2009) Unipolarity, State Behavior, and Systemic Consequences, </w:t>
      </w:r>
      <w:r w:rsidRPr="006828AE">
        <w:rPr>
          <w:rFonts w:cs="Times New Roman"/>
          <w:i/>
          <w:szCs w:val="24"/>
        </w:rPr>
        <w:t>World Politics</w:t>
      </w:r>
      <w:r w:rsidRPr="006828AE">
        <w:rPr>
          <w:rFonts w:cs="Times New Roman"/>
          <w:szCs w:val="24"/>
        </w:rPr>
        <w:t xml:space="preserve"> 61, January: 1–27.</w:t>
      </w:r>
    </w:p>
    <w:p w:rsidR="00D21028" w:rsidRPr="006828AE" w:rsidRDefault="00D21028" w:rsidP="00D44833">
      <w:pPr>
        <w:autoSpaceDE w:val="0"/>
        <w:autoSpaceDN w:val="0"/>
        <w:adjustRightInd w:val="0"/>
        <w:ind w:left="720" w:hanging="720"/>
        <w:rPr>
          <w:rFonts w:cs="Times New Roman"/>
          <w:szCs w:val="24"/>
        </w:rPr>
      </w:pPr>
      <w:r w:rsidRPr="006828AE">
        <w:rPr>
          <w:rFonts w:cs="Times New Roman"/>
          <w:szCs w:val="24"/>
        </w:rPr>
        <w:t>International Monetary Fund (IMF) (2012a) Currency Composition of Official Foreign Exchange Reserves (COFER), Washington, D.C.: International Monetary Fund. At &lt;www.imf.org&gt;</w:t>
      </w:r>
    </w:p>
    <w:p w:rsidR="004F3849" w:rsidRPr="006828AE" w:rsidRDefault="00D21028" w:rsidP="00D44833">
      <w:pPr>
        <w:autoSpaceDE w:val="0"/>
        <w:autoSpaceDN w:val="0"/>
        <w:adjustRightInd w:val="0"/>
        <w:ind w:left="720" w:hanging="720"/>
        <w:rPr>
          <w:rStyle w:val="Hyperlink"/>
          <w:rFonts w:cs="Times New Roman"/>
          <w:color w:val="auto"/>
          <w:szCs w:val="24"/>
          <w:u w:val="none"/>
        </w:rPr>
      </w:pPr>
      <w:r w:rsidRPr="006828AE">
        <w:rPr>
          <w:rFonts w:cs="Times New Roman"/>
          <w:szCs w:val="24"/>
        </w:rPr>
        <w:t xml:space="preserve">International Monetary Fund (IMF) (2012b) World Economic Outlook Database (WEO), October. Consulted December 2012 at </w:t>
      </w:r>
      <w:hyperlink r:id="rId15" w:history="1">
        <w:r w:rsidRPr="006828AE">
          <w:rPr>
            <w:rStyle w:val="Hyperlink"/>
            <w:rFonts w:cs="Times New Roman"/>
            <w:color w:val="auto"/>
            <w:szCs w:val="24"/>
          </w:rPr>
          <w:t>www.imf.org</w:t>
        </w:r>
      </w:hyperlink>
    </w:p>
    <w:p w:rsidR="004F3849" w:rsidRPr="006828AE" w:rsidRDefault="004F3849" w:rsidP="00D44833">
      <w:pPr>
        <w:autoSpaceDE w:val="0"/>
        <w:autoSpaceDN w:val="0"/>
        <w:adjustRightInd w:val="0"/>
        <w:ind w:left="720" w:hanging="720"/>
        <w:rPr>
          <w:rFonts w:cs="Times New Roman"/>
          <w:szCs w:val="24"/>
        </w:rPr>
      </w:pPr>
      <w:r w:rsidRPr="006828AE">
        <w:rPr>
          <w:rStyle w:val="Hyperlink"/>
          <w:rFonts w:cs="Times New Roman"/>
          <w:color w:val="auto"/>
          <w:szCs w:val="24"/>
          <w:u w:val="none"/>
        </w:rPr>
        <w:t xml:space="preserve">Kahler, Miles (forthcoming) Rising Powers and Global Governance: Negotiating Change in a Resilient Status Quo. </w:t>
      </w:r>
      <w:r w:rsidRPr="006828AE">
        <w:rPr>
          <w:rStyle w:val="Hyperlink"/>
          <w:rFonts w:cs="Times New Roman"/>
          <w:i/>
          <w:color w:val="auto"/>
          <w:szCs w:val="24"/>
          <w:u w:val="none"/>
        </w:rPr>
        <w:t xml:space="preserve">International Affairs, </w:t>
      </w:r>
      <w:r w:rsidRPr="006828AE">
        <w:rPr>
          <w:rStyle w:val="Hyperlink"/>
          <w:rFonts w:cs="Times New Roman"/>
          <w:color w:val="auto"/>
          <w:szCs w:val="24"/>
          <w:u w:val="none"/>
        </w:rPr>
        <w:t>Special Issue on Negotiating the Rise of New Powers.</w:t>
      </w:r>
    </w:p>
    <w:p w:rsidR="00D21028" w:rsidRPr="006828AE" w:rsidRDefault="00D21028" w:rsidP="00D44833">
      <w:pPr>
        <w:autoSpaceDE w:val="0"/>
        <w:autoSpaceDN w:val="0"/>
        <w:adjustRightInd w:val="0"/>
        <w:ind w:left="720" w:hanging="720"/>
        <w:rPr>
          <w:rFonts w:cs="Times New Roman"/>
          <w:szCs w:val="24"/>
        </w:rPr>
      </w:pPr>
      <w:r w:rsidRPr="006828AE">
        <w:rPr>
          <w:rFonts w:cs="Times New Roman"/>
          <w:szCs w:val="24"/>
        </w:rPr>
        <w:t xml:space="preserve">Keynes, J.M. (1979 [1945]) Overseas Financial Policy in Stage III (15 May), in E. Johnson and D.E. Moggridge (eds.), </w:t>
      </w:r>
      <w:r w:rsidRPr="006828AE">
        <w:rPr>
          <w:rFonts w:cs="Times New Roman"/>
          <w:i/>
          <w:iCs/>
          <w:szCs w:val="24"/>
        </w:rPr>
        <w:t>The Collected Writings of John Maynard Keynes</w:t>
      </w:r>
      <w:r w:rsidRPr="006828AE">
        <w:rPr>
          <w:rFonts w:cs="Times New Roman"/>
          <w:szCs w:val="24"/>
        </w:rPr>
        <w:t>, Vol. XXIV, London: Macmillan , 256-295.</w:t>
      </w:r>
    </w:p>
    <w:p w:rsidR="00D21028" w:rsidRPr="006828AE" w:rsidRDefault="00D21028" w:rsidP="00D44833">
      <w:pPr>
        <w:ind w:left="720" w:hanging="720"/>
        <w:rPr>
          <w:rFonts w:cs="Times New Roman"/>
          <w:bCs/>
          <w:szCs w:val="24"/>
        </w:rPr>
      </w:pPr>
      <w:r w:rsidRPr="006828AE">
        <w:rPr>
          <w:rFonts w:cs="Times New Roman"/>
          <w:bCs/>
          <w:szCs w:val="24"/>
        </w:rPr>
        <w:t xml:space="preserve">Lane, P. R. and Milesi-Ferretti, G. R. (2007) The External Wealth of Nations: Mark II.  </w:t>
      </w:r>
      <w:r w:rsidRPr="006828AE">
        <w:rPr>
          <w:rFonts w:cs="Times New Roman"/>
          <w:bCs/>
          <w:i/>
          <w:szCs w:val="24"/>
        </w:rPr>
        <w:t xml:space="preserve">Journal of International Economics </w:t>
      </w:r>
      <w:r w:rsidRPr="006828AE">
        <w:rPr>
          <w:rFonts w:cs="Times New Roman"/>
          <w:bCs/>
          <w:szCs w:val="24"/>
        </w:rPr>
        <w:t>73, November, pp. 223-50. Data updated to 2010.</w:t>
      </w:r>
    </w:p>
    <w:p w:rsidR="00D21028" w:rsidRPr="006828AE" w:rsidRDefault="00D21028" w:rsidP="00D44833">
      <w:pPr>
        <w:ind w:left="720" w:hanging="720"/>
        <w:rPr>
          <w:rFonts w:cs="Times New Roman"/>
          <w:szCs w:val="24"/>
        </w:rPr>
      </w:pPr>
      <w:r w:rsidRPr="006828AE">
        <w:rPr>
          <w:rFonts w:cs="Times New Roman"/>
          <w:szCs w:val="24"/>
        </w:rPr>
        <w:t xml:space="preserve">Mearsheimer, John  (2001)  </w:t>
      </w:r>
      <w:r w:rsidRPr="006828AE">
        <w:rPr>
          <w:rFonts w:cs="Times New Roman"/>
          <w:i/>
          <w:iCs/>
          <w:szCs w:val="24"/>
        </w:rPr>
        <w:t xml:space="preserve">The Tragedy of Great Power Politics.  </w:t>
      </w:r>
      <w:r w:rsidRPr="006828AE">
        <w:rPr>
          <w:rFonts w:cs="Times New Roman"/>
          <w:iCs/>
          <w:szCs w:val="24"/>
        </w:rPr>
        <w:t xml:space="preserve">New York: </w:t>
      </w:r>
      <w:r w:rsidRPr="006828AE">
        <w:rPr>
          <w:rFonts w:cs="Times New Roman"/>
          <w:szCs w:val="24"/>
        </w:rPr>
        <w:t>W.W. Norton.</w:t>
      </w:r>
    </w:p>
    <w:p w:rsidR="00D21028" w:rsidRPr="006828AE" w:rsidRDefault="00D21028" w:rsidP="00D44833">
      <w:pPr>
        <w:ind w:left="720" w:hanging="720"/>
        <w:rPr>
          <w:rFonts w:cs="Times New Roman"/>
          <w:szCs w:val="24"/>
        </w:rPr>
      </w:pPr>
      <w:r w:rsidRPr="006828AE">
        <w:rPr>
          <w:rFonts w:cs="Times New Roman"/>
          <w:szCs w:val="24"/>
        </w:rPr>
        <w:t xml:space="preserve">Morgenthau, Hans J.  (1996 [1948])  “Political Power: A Realist Theory of International Relations,” in John A. Vasquez, ed.  </w:t>
      </w:r>
      <w:r w:rsidRPr="006828AE">
        <w:rPr>
          <w:rFonts w:cs="Times New Roman"/>
          <w:i/>
          <w:iCs/>
          <w:szCs w:val="24"/>
        </w:rPr>
        <w:t xml:space="preserve">Classics of International Relations, </w:t>
      </w:r>
      <w:r w:rsidRPr="006828AE">
        <w:rPr>
          <w:rFonts w:cs="Times New Roman"/>
          <w:szCs w:val="24"/>
        </w:rPr>
        <w:t>3</w:t>
      </w:r>
      <w:r w:rsidRPr="006828AE">
        <w:rPr>
          <w:rFonts w:cs="Times New Roman"/>
          <w:szCs w:val="24"/>
          <w:vertAlign w:val="superscript"/>
        </w:rPr>
        <w:t>rd</w:t>
      </w:r>
      <w:r w:rsidRPr="006828AE">
        <w:rPr>
          <w:rFonts w:cs="Times New Roman"/>
          <w:szCs w:val="24"/>
        </w:rPr>
        <w:t xml:space="preserve"> ed., pp. 24-27.</w:t>
      </w:r>
    </w:p>
    <w:p w:rsidR="00D21028" w:rsidRPr="006828AE" w:rsidRDefault="00D21028" w:rsidP="00D44833">
      <w:pPr>
        <w:ind w:left="720" w:hanging="720"/>
        <w:rPr>
          <w:rFonts w:cs="Times New Roman"/>
          <w:szCs w:val="24"/>
        </w:rPr>
      </w:pPr>
      <w:r w:rsidRPr="006828AE">
        <w:rPr>
          <w:rFonts w:cs="Times New Roman"/>
          <w:szCs w:val="24"/>
        </w:rPr>
        <w:t xml:space="preserve">Nye, Joseph S. (1990) </w:t>
      </w:r>
      <w:r w:rsidRPr="006828AE">
        <w:rPr>
          <w:rFonts w:cs="Times New Roman"/>
          <w:i/>
          <w:iCs/>
          <w:szCs w:val="24"/>
        </w:rPr>
        <w:t xml:space="preserve">Bound to Lead: The Changing Nature of World Power. </w:t>
      </w:r>
      <w:r w:rsidRPr="006828AE">
        <w:rPr>
          <w:rFonts w:cs="Times New Roman"/>
          <w:szCs w:val="24"/>
        </w:rPr>
        <w:t>New York: Basic Books.</w:t>
      </w:r>
    </w:p>
    <w:p w:rsidR="00D21028" w:rsidRPr="006828AE" w:rsidRDefault="00D21028" w:rsidP="00D44833">
      <w:pPr>
        <w:ind w:left="720" w:hanging="720"/>
        <w:rPr>
          <w:rFonts w:cs="Times New Roman"/>
          <w:szCs w:val="24"/>
        </w:rPr>
      </w:pPr>
      <w:r w:rsidRPr="006828AE">
        <w:rPr>
          <w:rFonts w:cs="Times New Roman"/>
          <w:szCs w:val="24"/>
        </w:rPr>
        <w:t xml:space="preserve">Nye, Joseph S.  (2004)  </w:t>
      </w:r>
      <w:r w:rsidRPr="006828AE">
        <w:rPr>
          <w:rFonts w:cs="Times New Roman"/>
          <w:i/>
          <w:iCs/>
          <w:szCs w:val="24"/>
        </w:rPr>
        <w:t xml:space="preserve">Soft Power: The Means to Success in World Politics.  </w:t>
      </w:r>
      <w:r w:rsidRPr="006828AE">
        <w:rPr>
          <w:rFonts w:cs="Times New Roman"/>
          <w:szCs w:val="24"/>
        </w:rPr>
        <w:t>PublicAffairs Press.</w:t>
      </w:r>
    </w:p>
    <w:p w:rsidR="00D21028" w:rsidRPr="006828AE" w:rsidRDefault="00D21028" w:rsidP="00D44833">
      <w:pPr>
        <w:ind w:left="720" w:hanging="720"/>
        <w:rPr>
          <w:rFonts w:cs="Times New Roman"/>
          <w:szCs w:val="24"/>
        </w:rPr>
      </w:pPr>
      <w:r w:rsidRPr="006828AE">
        <w:rPr>
          <w:rFonts w:cs="Times New Roman"/>
          <w:szCs w:val="24"/>
        </w:rPr>
        <w:t xml:space="preserve">Organski, A.F.K. and Jacek Kugler (1981) </w:t>
      </w:r>
      <w:r w:rsidRPr="006828AE">
        <w:rPr>
          <w:rFonts w:cs="Times New Roman"/>
          <w:i/>
          <w:iCs/>
          <w:szCs w:val="24"/>
        </w:rPr>
        <w:t xml:space="preserve">The War Ledger. </w:t>
      </w:r>
      <w:r w:rsidRPr="006828AE">
        <w:rPr>
          <w:rFonts w:cs="Times New Roman"/>
          <w:szCs w:val="24"/>
        </w:rPr>
        <w:t>Chicago: University of Chicago Press.</w:t>
      </w:r>
    </w:p>
    <w:p w:rsidR="00D21028" w:rsidRPr="006828AE" w:rsidRDefault="00D21028" w:rsidP="00D44833">
      <w:pPr>
        <w:ind w:left="720" w:hanging="720"/>
        <w:rPr>
          <w:rFonts w:cs="Times New Roman"/>
          <w:szCs w:val="24"/>
        </w:rPr>
      </w:pPr>
      <w:r w:rsidRPr="006828AE">
        <w:rPr>
          <w:rFonts w:cs="Times New Roman"/>
          <w:szCs w:val="24"/>
        </w:rPr>
        <w:t>Philippon, Thomas (2007)  Why Has the Financial Sector Grown So Much? The  Role of Corporate Finance, NBER Working Paper #1304, Cambridge, MA: National Bureau of Economic Research,  September.</w:t>
      </w:r>
    </w:p>
    <w:p w:rsidR="00D21028" w:rsidRPr="006828AE" w:rsidRDefault="00D21028" w:rsidP="00D44833">
      <w:pPr>
        <w:ind w:left="720" w:hanging="720"/>
        <w:rPr>
          <w:rFonts w:cs="Times New Roman"/>
          <w:szCs w:val="24"/>
        </w:rPr>
      </w:pPr>
      <w:r w:rsidRPr="006828AE">
        <w:rPr>
          <w:rFonts w:cs="Times New Roman"/>
          <w:szCs w:val="24"/>
        </w:rPr>
        <w:t>Prasad, E. and Sorkin, I. (2009) Assessing the G-20 Economic Stimulus Plans: A Deeper Look, Washington, D.C.: Brookings Institution.</w:t>
      </w:r>
    </w:p>
    <w:p w:rsidR="00D21028" w:rsidRPr="006828AE" w:rsidRDefault="00D21028" w:rsidP="00D44833">
      <w:pPr>
        <w:ind w:left="720" w:hanging="720"/>
        <w:rPr>
          <w:rFonts w:eastAsia="Times New Roman" w:cs="Times New Roman"/>
          <w:szCs w:val="24"/>
        </w:rPr>
      </w:pPr>
      <w:r w:rsidRPr="006828AE">
        <w:rPr>
          <w:rFonts w:eastAsia="Times New Roman" w:cs="Times New Roman"/>
          <w:szCs w:val="24"/>
        </w:rPr>
        <w:t>Real Instituto Elcano (2012) Elcano Global Presence Index. Madrid: Real Instituto Elcano. Consulted March 2012 at &lt;</w:t>
      </w:r>
      <w:r w:rsidRPr="006828AE">
        <w:rPr>
          <w:rFonts w:cs="Times New Roman"/>
          <w:szCs w:val="24"/>
        </w:rPr>
        <w:t>http://www.realinstitutoelcano.org&gt;</w:t>
      </w:r>
    </w:p>
    <w:p w:rsidR="00D21028" w:rsidRPr="006828AE" w:rsidRDefault="00D21028" w:rsidP="00D44833">
      <w:pPr>
        <w:ind w:left="720" w:hanging="720"/>
        <w:rPr>
          <w:rFonts w:eastAsia="Times New Roman" w:cs="Times New Roman"/>
          <w:szCs w:val="24"/>
        </w:rPr>
      </w:pPr>
      <w:r w:rsidRPr="006828AE">
        <w:rPr>
          <w:rFonts w:eastAsia="Times New Roman" w:cs="Times New Roman"/>
          <w:szCs w:val="24"/>
        </w:rPr>
        <w:t xml:space="preserve">Roxburgh, C., S. Lund, and J. Piotrowski (2011) </w:t>
      </w:r>
      <w:r w:rsidRPr="006828AE">
        <w:rPr>
          <w:rFonts w:eastAsia="Times New Roman" w:cs="Times New Roman"/>
          <w:i/>
          <w:szCs w:val="24"/>
        </w:rPr>
        <w:t xml:space="preserve">Mapping Global Capital Markets 2011: Updated Research, </w:t>
      </w:r>
      <w:r w:rsidRPr="006828AE">
        <w:rPr>
          <w:rFonts w:eastAsia="Times New Roman" w:cs="Times New Roman"/>
          <w:szCs w:val="24"/>
        </w:rPr>
        <w:t>McKinsey Global Institute, August. Consulted December 2012 at &lt;www.mckinsey.com&gt;</w:t>
      </w:r>
    </w:p>
    <w:p w:rsidR="00D21028" w:rsidRPr="006828AE" w:rsidRDefault="00D21028" w:rsidP="00D44833">
      <w:pPr>
        <w:ind w:left="720" w:hanging="720"/>
        <w:rPr>
          <w:rFonts w:eastAsia="Times New Roman" w:cs="Times New Roman"/>
          <w:szCs w:val="24"/>
        </w:rPr>
      </w:pPr>
      <w:r w:rsidRPr="006828AE">
        <w:rPr>
          <w:rFonts w:eastAsia="Times New Roman" w:cs="Times New Roman"/>
          <w:szCs w:val="24"/>
        </w:rPr>
        <w:t xml:space="preserve">Sarkees, Meredith Reid, Frank Whelon Wayman, and J. David Singer. (2003) Interstate, Instra-State, and Extra-State Wars: A Comprehensive Look at Their Distribution over Time, 1816-1997. </w:t>
      </w:r>
      <w:r w:rsidRPr="006828AE">
        <w:rPr>
          <w:rFonts w:eastAsia="Times New Roman" w:cs="Times New Roman"/>
          <w:i/>
          <w:iCs/>
          <w:szCs w:val="24"/>
        </w:rPr>
        <w:t xml:space="preserve">International Studies Quarterly </w:t>
      </w:r>
      <w:r w:rsidRPr="006828AE">
        <w:rPr>
          <w:rFonts w:eastAsia="Times New Roman" w:cs="Times New Roman"/>
          <w:szCs w:val="24"/>
        </w:rPr>
        <w:t>47: 49-70.</w:t>
      </w:r>
    </w:p>
    <w:p w:rsidR="009B20F1" w:rsidRPr="006828AE" w:rsidRDefault="009B20F1" w:rsidP="00D44833">
      <w:pPr>
        <w:pStyle w:val="NormalWeb"/>
        <w:spacing w:before="0" w:beforeAutospacing="0" w:after="0" w:afterAutospacing="0"/>
        <w:ind w:left="720" w:hanging="720"/>
      </w:pPr>
      <w:r w:rsidRPr="006828AE">
        <w:t xml:space="preserve">Schwartz, Herman M. (2010). </w:t>
      </w:r>
      <w:r w:rsidRPr="006828AE">
        <w:rPr>
          <w:i/>
        </w:rPr>
        <w:t xml:space="preserve">States Versus Markets: The Emergence of a Global Economy. </w:t>
      </w:r>
      <w:r w:rsidRPr="006828AE">
        <w:t>3</w:t>
      </w:r>
      <w:r w:rsidRPr="006828AE">
        <w:rPr>
          <w:vertAlign w:val="superscript"/>
        </w:rPr>
        <w:t>rd</w:t>
      </w:r>
      <w:r w:rsidRPr="006828AE">
        <w:t xml:space="preserve"> Ed. New York: Palgrave Macmillan.</w:t>
      </w:r>
    </w:p>
    <w:p w:rsidR="00D21028" w:rsidRPr="006828AE" w:rsidRDefault="00D21028" w:rsidP="00D44833">
      <w:pPr>
        <w:pStyle w:val="NormalWeb"/>
        <w:spacing w:before="0" w:beforeAutospacing="0" w:after="0" w:afterAutospacing="0"/>
        <w:ind w:left="720" w:hanging="720"/>
      </w:pPr>
      <w:r w:rsidRPr="006828AE">
        <w:lastRenderedPageBreak/>
        <w:t xml:space="preserve">Scott, Mark (2012) In Euro Zone, Challenging London as the Continent’s Financial Capital, </w:t>
      </w:r>
      <w:r w:rsidRPr="006828AE">
        <w:rPr>
          <w:i/>
        </w:rPr>
        <w:t xml:space="preserve">New York Times, </w:t>
      </w:r>
      <w:r w:rsidRPr="006828AE">
        <w:t>December 11, at &lt;www.nytimes.com&gt;.</w:t>
      </w:r>
    </w:p>
    <w:p w:rsidR="00D21028" w:rsidRPr="006828AE" w:rsidRDefault="00D21028" w:rsidP="00D44833">
      <w:pPr>
        <w:ind w:left="720" w:hanging="720"/>
        <w:rPr>
          <w:rFonts w:cs="Times New Roman"/>
          <w:szCs w:val="24"/>
        </w:rPr>
      </w:pPr>
      <w:r w:rsidRPr="006828AE">
        <w:rPr>
          <w:rFonts w:cs="Times New Roman"/>
          <w:szCs w:val="24"/>
        </w:rPr>
        <w:t xml:space="preserve">Singer, J. David, Stuart Bremer, and John Stuckey. (1972) "Capability Distribution, Uncertainty, and Major Power War, 1820-1965." In Bruce Russett (ed) </w:t>
      </w:r>
      <w:r w:rsidRPr="006828AE">
        <w:rPr>
          <w:rFonts w:cs="Times New Roman"/>
          <w:i/>
          <w:iCs/>
          <w:szCs w:val="24"/>
        </w:rPr>
        <w:t>Peace, War, and Numbers</w:t>
      </w:r>
      <w:r w:rsidRPr="006828AE">
        <w:rPr>
          <w:rFonts w:cs="Times New Roman"/>
          <w:szCs w:val="24"/>
        </w:rPr>
        <w:t xml:space="preserve">, Beverly Hills: Sage, 19-48, as updated by CINC dataset Version 4, at: </w:t>
      </w:r>
      <w:hyperlink r:id="rId16" w:history="1">
        <w:r w:rsidRPr="006828AE">
          <w:rPr>
            <w:rStyle w:val="Hyperlink"/>
            <w:rFonts w:cs="Times New Roman"/>
            <w:color w:val="auto"/>
            <w:szCs w:val="24"/>
          </w:rPr>
          <w:t>www.correlatesofwar.org</w:t>
        </w:r>
      </w:hyperlink>
      <w:r w:rsidRPr="006828AE">
        <w:rPr>
          <w:rStyle w:val="Hyperlink"/>
          <w:rFonts w:cs="Times New Roman"/>
          <w:color w:val="auto"/>
          <w:szCs w:val="24"/>
        </w:rPr>
        <w:t>.</w:t>
      </w:r>
    </w:p>
    <w:p w:rsidR="00D21028" w:rsidRPr="006828AE" w:rsidRDefault="00D21028" w:rsidP="00D44833">
      <w:pPr>
        <w:pStyle w:val="NormalWeb"/>
        <w:spacing w:before="0" w:beforeAutospacing="0" w:after="0" w:afterAutospacing="0"/>
        <w:ind w:left="720" w:hanging="720"/>
      </w:pPr>
      <w:r w:rsidRPr="006828AE">
        <w:t xml:space="preserve">Steil, Benn and Robert E. Litan (2006) </w:t>
      </w:r>
      <w:r w:rsidRPr="006828AE">
        <w:rPr>
          <w:i/>
        </w:rPr>
        <w:t xml:space="preserve">Financial Statecraft: The Role of Financial Markets in American Foreign Policy. </w:t>
      </w:r>
      <w:r w:rsidRPr="006828AE">
        <w:t>New Haven, CT: Yale University Press.</w:t>
      </w:r>
    </w:p>
    <w:p w:rsidR="00D21028" w:rsidRPr="006828AE" w:rsidRDefault="00D21028" w:rsidP="00D44833">
      <w:pPr>
        <w:pStyle w:val="FootnoteText"/>
        <w:ind w:left="720" w:hanging="720"/>
        <w:rPr>
          <w:rFonts w:cs="Times New Roman"/>
          <w:sz w:val="24"/>
          <w:szCs w:val="24"/>
        </w:rPr>
      </w:pPr>
      <w:r w:rsidRPr="006828AE">
        <w:rPr>
          <w:rFonts w:cs="Times New Roman"/>
          <w:sz w:val="24"/>
          <w:szCs w:val="24"/>
        </w:rPr>
        <w:t xml:space="preserve">Stiglitz, Joseph E.  (2002)  </w:t>
      </w:r>
      <w:r w:rsidRPr="006828AE">
        <w:rPr>
          <w:rFonts w:cs="Times New Roman"/>
          <w:i/>
          <w:iCs/>
          <w:sz w:val="24"/>
          <w:szCs w:val="24"/>
        </w:rPr>
        <w:t xml:space="preserve">Globalization and Its Discontents.  </w:t>
      </w:r>
      <w:r w:rsidRPr="006828AE">
        <w:rPr>
          <w:rFonts w:cs="Times New Roman"/>
          <w:sz w:val="24"/>
          <w:szCs w:val="24"/>
        </w:rPr>
        <w:t>New York: W.W. Norton.</w:t>
      </w:r>
    </w:p>
    <w:p w:rsidR="00D21028" w:rsidRPr="006828AE" w:rsidRDefault="00D21028" w:rsidP="00D44833">
      <w:pPr>
        <w:ind w:left="720" w:hanging="720"/>
        <w:rPr>
          <w:rFonts w:cs="Times New Roman"/>
          <w:szCs w:val="24"/>
        </w:rPr>
      </w:pPr>
      <w:r w:rsidRPr="006828AE">
        <w:rPr>
          <w:rFonts w:cs="Times New Roman"/>
          <w:szCs w:val="24"/>
        </w:rPr>
        <w:t xml:space="preserve">Subramanian, A. (2011) </w:t>
      </w:r>
      <w:r w:rsidRPr="006828AE">
        <w:rPr>
          <w:rFonts w:cs="Times New Roman"/>
          <w:i/>
          <w:szCs w:val="24"/>
        </w:rPr>
        <w:t xml:space="preserve">Eclipse: Living in the Shadow of China’s Economic Dominance. </w:t>
      </w:r>
      <w:r w:rsidRPr="006828AE">
        <w:rPr>
          <w:rFonts w:cs="Times New Roman"/>
          <w:szCs w:val="24"/>
        </w:rPr>
        <w:t>Washington, D.C.: Peterson Institute.</w:t>
      </w:r>
    </w:p>
    <w:p w:rsidR="00D21028" w:rsidRPr="006828AE" w:rsidRDefault="00D21028" w:rsidP="00D44833">
      <w:pPr>
        <w:pStyle w:val="FootnoteText"/>
        <w:ind w:left="720" w:hanging="720"/>
        <w:rPr>
          <w:rFonts w:cs="Times New Roman"/>
          <w:sz w:val="24"/>
          <w:szCs w:val="24"/>
        </w:rPr>
      </w:pPr>
      <w:r w:rsidRPr="006828AE">
        <w:rPr>
          <w:rFonts w:cs="Times New Roman"/>
          <w:sz w:val="24"/>
          <w:szCs w:val="24"/>
        </w:rPr>
        <w:t xml:space="preserve">Tabb, William K.  (2004)  </w:t>
      </w:r>
      <w:r w:rsidRPr="006828AE">
        <w:rPr>
          <w:rFonts w:cs="Times New Roman"/>
          <w:i/>
          <w:iCs/>
          <w:sz w:val="24"/>
          <w:szCs w:val="24"/>
        </w:rPr>
        <w:t xml:space="preserve">Economic Governance in an Age of Globalization.  </w:t>
      </w:r>
      <w:r w:rsidRPr="006828AE">
        <w:rPr>
          <w:rFonts w:cs="Times New Roman"/>
          <w:sz w:val="24"/>
          <w:szCs w:val="24"/>
        </w:rPr>
        <w:t>New York: Columbia University Press.</w:t>
      </w:r>
    </w:p>
    <w:p w:rsidR="00D21028" w:rsidRPr="006828AE" w:rsidRDefault="00D21028" w:rsidP="00D44833">
      <w:pPr>
        <w:ind w:left="720" w:hanging="720"/>
        <w:rPr>
          <w:rFonts w:cs="Times New Roman"/>
          <w:szCs w:val="24"/>
        </w:rPr>
      </w:pPr>
      <w:r w:rsidRPr="006828AE">
        <w:rPr>
          <w:rFonts w:cs="Times New Roman"/>
          <w:szCs w:val="24"/>
        </w:rPr>
        <w:t xml:space="preserve">Tammen, Ronald L., Jacek Kugler, Douglas Lemke, Allan C. Stam III, Carole Asharabati, Mark Andrew Abdollahian, Brian Efird, and A.F.K. Organski (2000) </w:t>
      </w:r>
      <w:r w:rsidRPr="006828AE">
        <w:rPr>
          <w:rFonts w:cs="Times New Roman"/>
          <w:i/>
          <w:iCs/>
          <w:szCs w:val="24"/>
        </w:rPr>
        <w:t>Power Transitions: Strategies for the 21</w:t>
      </w:r>
      <w:r w:rsidRPr="006828AE">
        <w:rPr>
          <w:rFonts w:cs="Times New Roman"/>
          <w:i/>
          <w:iCs/>
          <w:szCs w:val="24"/>
          <w:vertAlign w:val="superscript"/>
        </w:rPr>
        <w:t>st</w:t>
      </w:r>
      <w:r w:rsidRPr="006828AE">
        <w:rPr>
          <w:rFonts w:cs="Times New Roman"/>
          <w:i/>
          <w:iCs/>
          <w:szCs w:val="24"/>
        </w:rPr>
        <w:t xml:space="preserve"> Century. </w:t>
      </w:r>
      <w:r w:rsidRPr="006828AE">
        <w:rPr>
          <w:rFonts w:cs="Times New Roman"/>
          <w:szCs w:val="24"/>
        </w:rPr>
        <w:t>New York: Chatham House Publishers of Seven Bridges Press.</w:t>
      </w:r>
    </w:p>
    <w:p w:rsidR="00D21028" w:rsidRPr="006828AE" w:rsidRDefault="00D21028" w:rsidP="00D44833">
      <w:pPr>
        <w:pStyle w:val="FootnoteText"/>
        <w:ind w:left="720" w:hanging="720"/>
        <w:rPr>
          <w:rFonts w:cs="Times New Roman"/>
          <w:sz w:val="24"/>
          <w:szCs w:val="24"/>
        </w:rPr>
      </w:pPr>
      <w:r w:rsidRPr="006828AE">
        <w:rPr>
          <w:rFonts w:cs="Times New Roman"/>
          <w:sz w:val="24"/>
          <w:szCs w:val="24"/>
        </w:rPr>
        <w:t xml:space="preserve">Thelen, Kathleen and Sven Steinmo (1992) “Historical institutionalism in comparative politics,” in S. Steinmo, K. Thelen, and F. Longstreth, eds., </w:t>
      </w:r>
      <w:r w:rsidRPr="006828AE">
        <w:rPr>
          <w:rFonts w:cs="Times New Roman"/>
          <w:i/>
          <w:sz w:val="24"/>
          <w:szCs w:val="24"/>
        </w:rPr>
        <w:t xml:space="preserve">Structuring Politics: Historical Institutionalism in Comparative Analysis. </w:t>
      </w:r>
      <w:r w:rsidRPr="006828AE">
        <w:rPr>
          <w:rFonts w:cs="Times New Roman"/>
          <w:sz w:val="24"/>
          <w:szCs w:val="24"/>
        </w:rPr>
        <w:t>Cambridge: Cambridge University Press.</w:t>
      </w:r>
    </w:p>
    <w:p w:rsidR="00D21028" w:rsidRPr="006828AE" w:rsidRDefault="00D21028" w:rsidP="00D44833">
      <w:pPr>
        <w:ind w:left="720" w:hanging="720"/>
        <w:rPr>
          <w:rFonts w:cs="Times New Roman"/>
          <w:szCs w:val="24"/>
        </w:rPr>
      </w:pPr>
      <w:r w:rsidRPr="006828AE">
        <w:rPr>
          <w:rFonts w:cs="Times New Roman"/>
          <w:szCs w:val="24"/>
        </w:rPr>
        <w:t xml:space="preserve">Vreeland, James Raymond (2007) </w:t>
      </w:r>
      <w:r w:rsidRPr="006828AE">
        <w:rPr>
          <w:rFonts w:cs="Times New Roman"/>
          <w:i/>
          <w:szCs w:val="24"/>
        </w:rPr>
        <w:t xml:space="preserve">The Politics of Conditional Lending. </w:t>
      </w:r>
      <w:r w:rsidRPr="006828AE">
        <w:rPr>
          <w:rFonts w:cs="Times New Roman"/>
          <w:szCs w:val="24"/>
        </w:rPr>
        <w:t>New York: Routledge.</w:t>
      </w:r>
    </w:p>
    <w:p w:rsidR="00D21028" w:rsidRPr="006828AE" w:rsidRDefault="00D21028" w:rsidP="00D44833">
      <w:pPr>
        <w:ind w:left="720" w:hanging="720"/>
        <w:rPr>
          <w:rFonts w:cs="Times New Roman"/>
          <w:szCs w:val="24"/>
        </w:rPr>
      </w:pPr>
      <w:r w:rsidRPr="006828AE">
        <w:rPr>
          <w:rFonts w:cs="Times New Roman"/>
          <w:szCs w:val="24"/>
        </w:rPr>
        <w:t xml:space="preserve">Waltz, Kenneth N.  (1979)  </w:t>
      </w:r>
      <w:r w:rsidRPr="006828AE">
        <w:rPr>
          <w:rFonts w:cs="Times New Roman"/>
          <w:i/>
          <w:iCs/>
          <w:szCs w:val="24"/>
        </w:rPr>
        <w:t>Theory of International Politics,</w:t>
      </w:r>
      <w:r w:rsidRPr="006828AE">
        <w:rPr>
          <w:rFonts w:cs="Times New Roman"/>
          <w:szCs w:val="24"/>
        </w:rPr>
        <w:t xml:space="preserve"> New York: McGraw-Hill.</w:t>
      </w:r>
    </w:p>
    <w:p w:rsidR="00D21028" w:rsidRPr="006828AE" w:rsidRDefault="00D21028" w:rsidP="00D44833">
      <w:pPr>
        <w:ind w:left="720" w:hanging="720"/>
        <w:rPr>
          <w:rFonts w:cs="Times New Roman"/>
          <w:szCs w:val="24"/>
        </w:rPr>
      </w:pPr>
      <w:r w:rsidRPr="006828AE">
        <w:rPr>
          <w:rFonts w:cs="Times New Roman"/>
          <w:szCs w:val="24"/>
        </w:rPr>
        <w:t xml:space="preserve">Williamson, John (1989) “What Washington Means by Policy Reform,” in John Williamson, ed. </w:t>
      </w:r>
      <w:r w:rsidRPr="006828AE">
        <w:rPr>
          <w:rFonts w:cs="Times New Roman"/>
          <w:i/>
          <w:szCs w:val="24"/>
        </w:rPr>
        <w:t>Latin American Adjustment: How Much Has Happened?</w:t>
      </w:r>
      <w:r w:rsidRPr="006828AE">
        <w:rPr>
          <w:rFonts w:cs="Times New Roman"/>
          <w:szCs w:val="24"/>
        </w:rPr>
        <w:t xml:space="preserve"> Washington, D.C.: Institute for International Economics.</w:t>
      </w:r>
    </w:p>
    <w:p w:rsidR="00D21028" w:rsidRPr="006828AE" w:rsidRDefault="00D21028" w:rsidP="00D44833">
      <w:pPr>
        <w:ind w:left="720" w:hanging="720"/>
        <w:rPr>
          <w:rFonts w:cs="Times New Roman"/>
          <w:szCs w:val="24"/>
        </w:rPr>
      </w:pPr>
      <w:r w:rsidRPr="006828AE">
        <w:rPr>
          <w:rFonts w:cs="Times New Roman"/>
          <w:szCs w:val="24"/>
        </w:rPr>
        <w:t>Williamson, John (2004) “A Short History of the Washington Consensus,” Paper presented at Conference “From the Washington Consensus towards a new Global Governance,” Barcelona, September 24–25.</w:t>
      </w:r>
    </w:p>
    <w:p w:rsidR="00D21028" w:rsidRPr="006828AE" w:rsidRDefault="00D21028" w:rsidP="00D44833">
      <w:pPr>
        <w:ind w:left="720" w:hanging="720"/>
        <w:rPr>
          <w:rFonts w:cs="Times New Roman"/>
          <w:szCs w:val="24"/>
        </w:rPr>
      </w:pPr>
      <w:r w:rsidRPr="006828AE">
        <w:rPr>
          <w:rFonts w:cs="Times New Roman"/>
          <w:szCs w:val="24"/>
        </w:rPr>
        <w:t xml:space="preserve">World Bank (2011) </w:t>
      </w:r>
      <w:r w:rsidRPr="006828AE">
        <w:rPr>
          <w:rFonts w:cs="Times New Roman"/>
          <w:i/>
          <w:szCs w:val="24"/>
        </w:rPr>
        <w:t xml:space="preserve">Doing Business 2012. </w:t>
      </w:r>
      <w:r w:rsidRPr="006828AE">
        <w:rPr>
          <w:rFonts w:cs="Times New Roman"/>
          <w:szCs w:val="24"/>
        </w:rPr>
        <w:t>Washington, D.C.: The World Bank, October 18.</w:t>
      </w:r>
    </w:p>
    <w:p w:rsidR="00D21028" w:rsidRPr="006828AE" w:rsidRDefault="00D21028" w:rsidP="00D44833">
      <w:pPr>
        <w:ind w:left="720" w:hanging="720"/>
        <w:rPr>
          <w:rFonts w:cs="Times New Roman"/>
          <w:szCs w:val="24"/>
        </w:rPr>
      </w:pPr>
      <w:r w:rsidRPr="006828AE">
        <w:rPr>
          <w:rFonts w:cs="Times New Roman"/>
          <w:szCs w:val="24"/>
        </w:rPr>
        <w:t xml:space="preserve">World Bank. (2012a) “World Development Indicators” (WDI). Washington, D.C.: The World Bank. Consulted November 2012 at </w:t>
      </w:r>
      <w:hyperlink r:id="rId17" w:history="1">
        <w:r w:rsidRPr="006828AE">
          <w:rPr>
            <w:rStyle w:val="Hyperlink"/>
            <w:rFonts w:cs="Times New Roman"/>
            <w:color w:val="auto"/>
            <w:szCs w:val="24"/>
          </w:rPr>
          <w:t>www.worldbank.org</w:t>
        </w:r>
      </w:hyperlink>
      <w:r w:rsidRPr="006828AE">
        <w:rPr>
          <w:rFonts w:cs="Times New Roman"/>
          <w:szCs w:val="24"/>
        </w:rPr>
        <w:t>.</w:t>
      </w:r>
    </w:p>
    <w:p w:rsidR="00D21028" w:rsidRPr="006828AE" w:rsidRDefault="00D21028" w:rsidP="00D44833">
      <w:pPr>
        <w:ind w:left="720" w:hanging="720"/>
        <w:rPr>
          <w:rFonts w:cs="Times New Roman"/>
          <w:szCs w:val="24"/>
        </w:rPr>
      </w:pPr>
      <w:r w:rsidRPr="006828AE">
        <w:rPr>
          <w:rFonts w:cs="Times New Roman"/>
          <w:szCs w:val="24"/>
        </w:rPr>
        <w:t>World Bank (2012b) “Global Financial Development Data” (GFDD). Washington, D.C.:  Consulted November 2010 at www.worldbank.org</w:t>
      </w:r>
    </w:p>
    <w:p w:rsidR="00C621B0" w:rsidRDefault="00C621B0">
      <w:pPr>
        <w:rPr>
          <w:rFonts w:cs="Times New Roman"/>
          <w:b/>
          <w:szCs w:val="24"/>
        </w:rPr>
        <w:sectPr w:rsidR="00C621B0" w:rsidSect="00C621B0">
          <w:endnotePr>
            <w:numFmt w:val="decimal"/>
          </w:endnotePr>
          <w:type w:val="continuous"/>
          <w:pgSz w:w="12240" w:h="15840"/>
          <w:pgMar w:top="1440" w:right="1440" w:bottom="1440" w:left="1440" w:header="720" w:footer="720" w:gutter="0"/>
          <w:cols w:space="720"/>
          <w:docGrid w:linePitch="360"/>
        </w:sectPr>
      </w:pPr>
    </w:p>
    <w:p w:rsidR="00150075" w:rsidRDefault="00150075" w:rsidP="00150075">
      <w:r>
        <w:rPr>
          <w:b/>
        </w:rPr>
        <w:lastRenderedPageBreak/>
        <w:t xml:space="preserve">Table 1  </w:t>
      </w:r>
      <w:r>
        <w:rPr>
          <w:rFonts w:cs="Times New Roman"/>
          <w:b/>
        </w:rPr>
        <w:t>Components of Five “Power” I</w:t>
      </w:r>
      <w:r w:rsidRPr="00BE639F">
        <w:rPr>
          <w:rFonts w:cs="Times New Roman"/>
          <w:b/>
        </w:rPr>
        <w:t>ndices</w:t>
      </w:r>
    </w:p>
    <w:p w:rsidR="00150075" w:rsidRDefault="00150075" w:rsidP="00150075"/>
    <w:tbl>
      <w:tblPr>
        <w:tblStyle w:val="TableGrid"/>
        <w:tblpPr w:leftFromText="141" w:rightFromText="141" w:vertAnchor="page" w:horzAnchor="margin" w:tblpY="2311"/>
        <w:tblW w:w="14021" w:type="dxa"/>
        <w:tblLook w:val="0420" w:firstRow="1" w:lastRow="0" w:firstColumn="0" w:lastColumn="0" w:noHBand="0" w:noVBand="1"/>
      </w:tblPr>
      <w:tblGrid>
        <w:gridCol w:w="3067"/>
        <w:gridCol w:w="2178"/>
        <w:gridCol w:w="524"/>
        <w:gridCol w:w="525"/>
        <w:gridCol w:w="525"/>
        <w:gridCol w:w="525"/>
        <w:gridCol w:w="525"/>
        <w:gridCol w:w="610"/>
        <w:gridCol w:w="525"/>
        <w:gridCol w:w="473"/>
        <w:gridCol w:w="516"/>
        <w:gridCol w:w="525"/>
        <w:gridCol w:w="525"/>
        <w:gridCol w:w="525"/>
        <w:gridCol w:w="525"/>
        <w:gridCol w:w="610"/>
        <w:gridCol w:w="525"/>
        <w:gridCol w:w="793"/>
      </w:tblGrid>
      <w:tr w:rsidR="00150075" w:rsidRPr="00BE639F" w:rsidTr="001F46DC">
        <w:trPr>
          <w:trHeight w:val="2597"/>
        </w:trPr>
        <w:tc>
          <w:tcPr>
            <w:tcW w:w="3067" w:type="dxa"/>
            <w:tcBorders>
              <w:tl2br w:val="single" w:sz="4" w:space="0" w:color="auto"/>
            </w:tcBorders>
            <w:vAlign w:val="bottom"/>
          </w:tcPr>
          <w:p w:rsidR="00150075" w:rsidRPr="00954A2C" w:rsidRDefault="00150075" w:rsidP="001F46DC">
            <w:pPr>
              <w:rPr>
                <w:rFonts w:cs="Times New Roman"/>
              </w:rPr>
            </w:pPr>
            <w:r w:rsidRPr="00954A2C">
              <w:rPr>
                <w:rFonts w:cs="Times New Roman"/>
                <w:bCs/>
              </w:rPr>
              <w:t xml:space="preserve">                               </w:t>
            </w:r>
            <w:r>
              <w:rPr>
                <w:rFonts w:cs="Times New Roman"/>
                <w:bCs/>
              </w:rPr>
              <w:t xml:space="preserve">                                 </w:t>
            </w:r>
            <w:r w:rsidRPr="00954A2C">
              <w:rPr>
                <w:rFonts w:cs="Times New Roman"/>
                <w:bCs/>
              </w:rPr>
              <w:t>Components                                               (Share of World Total)</w:t>
            </w:r>
          </w:p>
          <w:p w:rsidR="00150075" w:rsidRPr="00954A2C" w:rsidRDefault="00150075" w:rsidP="001F46DC">
            <w:pPr>
              <w:rPr>
                <w:rFonts w:cs="Times New Roman"/>
                <w:bCs/>
              </w:rPr>
            </w:pPr>
          </w:p>
          <w:p w:rsidR="00150075" w:rsidRPr="00954A2C" w:rsidRDefault="00150075" w:rsidP="001F46DC">
            <w:pPr>
              <w:rPr>
                <w:rFonts w:cs="Times New Roman"/>
                <w:bCs/>
              </w:rPr>
            </w:pPr>
          </w:p>
          <w:p w:rsidR="00150075" w:rsidRPr="00954A2C" w:rsidRDefault="00150075" w:rsidP="001F46DC">
            <w:pPr>
              <w:rPr>
                <w:rFonts w:cs="Times New Roman"/>
                <w:bCs/>
              </w:rPr>
            </w:pPr>
          </w:p>
          <w:p w:rsidR="00150075" w:rsidRPr="00954A2C" w:rsidRDefault="00150075" w:rsidP="001F46DC">
            <w:pPr>
              <w:rPr>
                <w:rFonts w:cs="Times New Roman"/>
                <w:bCs/>
              </w:rPr>
            </w:pPr>
          </w:p>
          <w:p w:rsidR="00150075" w:rsidRPr="00954A2C" w:rsidRDefault="00150075" w:rsidP="001F46DC">
            <w:pPr>
              <w:rPr>
                <w:rFonts w:cs="Times New Roman"/>
                <w:bCs/>
              </w:rPr>
            </w:pPr>
          </w:p>
          <w:p w:rsidR="00150075" w:rsidRPr="00954A2C" w:rsidRDefault="00150075" w:rsidP="001F46DC">
            <w:pPr>
              <w:rPr>
                <w:rFonts w:cs="Times New Roman"/>
                <w:bCs/>
              </w:rPr>
            </w:pPr>
          </w:p>
          <w:p w:rsidR="00150075" w:rsidRPr="00954A2C" w:rsidRDefault="00150075" w:rsidP="001F46DC">
            <w:pPr>
              <w:rPr>
                <w:rFonts w:cs="Times New Roman"/>
                <w:bCs/>
              </w:rPr>
            </w:pPr>
          </w:p>
          <w:p w:rsidR="00150075" w:rsidRPr="00954A2C" w:rsidRDefault="00150075" w:rsidP="001F46DC">
            <w:pPr>
              <w:rPr>
                <w:rFonts w:cs="Times New Roman"/>
                <w:bCs/>
              </w:rPr>
            </w:pPr>
          </w:p>
          <w:p w:rsidR="00150075" w:rsidRPr="00954A2C" w:rsidRDefault="00150075" w:rsidP="001F46DC">
            <w:pPr>
              <w:rPr>
                <w:rFonts w:cs="Times New Roman"/>
              </w:rPr>
            </w:pPr>
            <w:r w:rsidRPr="00954A2C">
              <w:rPr>
                <w:rFonts w:cs="Times New Roman"/>
                <w:bCs/>
              </w:rPr>
              <w:t>Index</w:t>
            </w:r>
            <w:r>
              <w:rPr>
                <w:rFonts w:cs="Times New Roman"/>
                <w:bCs/>
              </w:rPr>
              <w:t xml:space="preserve"> Name</w:t>
            </w:r>
          </w:p>
        </w:tc>
        <w:tc>
          <w:tcPr>
            <w:tcW w:w="2178" w:type="dxa"/>
          </w:tcPr>
          <w:p w:rsidR="00150075" w:rsidRDefault="00150075" w:rsidP="001F46DC">
            <w:pPr>
              <w:rPr>
                <w:rFonts w:cs="Times New Roman"/>
                <w:bCs/>
              </w:rPr>
            </w:pPr>
          </w:p>
          <w:p w:rsidR="00150075" w:rsidRDefault="00150075" w:rsidP="001F46DC">
            <w:pPr>
              <w:rPr>
                <w:rFonts w:cs="Times New Roman"/>
                <w:bCs/>
              </w:rPr>
            </w:pPr>
          </w:p>
          <w:p w:rsidR="00150075" w:rsidRDefault="00150075" w:rsidP="001F46DC">
            <w:pPr>
              <w:rPr>
                <w:rFonts w:cs="Times New Roman"/>
                <w:bCs/>
              </w:rPr>
            </w:pPr>
          </w:p>
          <w:p w:rsidR="00150075" w:rsidRDefault="00150075" w:rsidP="001F46DC">
            <w:pPr>
              <w:rPr>
                <w:rFonts w:cs="Times New Roman"/>
                <w:bCs/>
              </w:rPr>
            </w:pPr>
          </w:p>
          <w:p w:rsidR="00150075" w:rsidRDefault="00150075" w:rsidP="001F46DC">
            <w:pPr>
              <w:rPr>
                <w:rFonts w:cs="Times New Roman"/>
                <w:bCs/>
              </w:rPr>
            </w:pPr>
          </w:p>
          <w:p w:rsidR="00150075" w:rsidRDefault="00150075" w:rsidP="001F46DC">
            <w:pPr>
              <w:rPr>
                <w:rFonts w:cs="Times New Roman"/>
                <w:bCs/>
              </w:rPr>
            </w:pPr>
          </w:p>
          <w:p w:rsidR="00150075" w:rsidRDefault="00150075" w:rsidP="001F46DC">
            <w:pPr>
              <w:rPr>
                <w:rFonts w:cs="Times New Roman"/>
                <w:bCs/>
              </w:rPr>
            </w:pPr>
          </w:p>
          <w:p w:rsidR="00150075" w:rsidRDefault="00150075" w:rsidP="001F46DC">
            <w:pPr>
              <w:rPr>
                <w:rFonts w:cs="Times New Roman"/>
                <w:bCs/>
              </w:rPr>
            </w:pPr>
          </w:p>
          <w:p w:rsidR="00150075" w:rsidRDefault="00150075" w:rsidP="001F46DC">
            <w:pPr>
              <w:rPr>
                <w:rFonts w:cs="Times New Roman"/>
                <w:bCs/>
              </w:rPr>
            </w:pPr>
          </w:p>
          <w:p w:rsidR="00150075" w:rsidRDefault="00150075" w:rsidP="001F46DC">
            <w:pPr>
              <w:rPr>
                <w:rFonts w:cs="Times New Roman"/>
                <w:bCs/>
              </w:rPr>
            </w:pPr>
          </w:p>
          <w:p w:rsidR="00150075" w:rsidRDefault="00150075" w:rsidP="001F46DC">
            <w:pPr>
              <w:rPr>
                <w:rFonts w:cs="Times New Roman"/>
                <w:bCs/>
              </w:rPr>
            </w:pPr>
          </w:p>
          <w:p w:rsidR="00150075" w:rsidRPr="00954A2C" w:rsidRDefault="00150075" w:rsidP="001F46DC">
            <w:pPr>
              <w:rPr>
                <w:rFonts w:cs="Times New Roman"/>
                <w:bCs/>
              </w:rPr>
            </w:pPr>
            <w:r>
              <w:rPr>
                <w:rFonts w:cs="Times New Roman"/>
                <w:bCs/>
              </w:rPr>
              <w:t>Index Type</w:t>
            </w:r>
          </w:p>
        </w:tc>
        <w:tc>
          <w:tcPr>
            <w:tcW w:w="524" w:type="dxa"/>
            <w:textDirection w:val="btLr"/>
            <w:hideMark/>
          </w:tcPr>
          <w:p w:rsidR="00150075" w:rsidRPr="00954A2C" w:rsidRDefault="00150075" w:rsidP="001F46DC">
            <w:pPr>
              <w:rPr>
                <w:rFonts w:cs="Times New Roman"/>
                <w:sz w:val="20"/>
              </w:rPr>
            </w:pPr>
            <w:r w:rsidRPr="00954A2C">
              <w:rPr>
                <w:rFonts w:cs="Times New Roman"/>
                <w:bCs/>
                <w:sz w:val="20"/>
              </w:rPr>
              <w:t>Military M</w:t>
            </w:r>
            <w:r>
              <w:rPr>
                <w:rFonts w:cs="Times New Roman"/>
                <w:bCs/>
                <w:sz w:val="20"/>
              </w:rPr>
              <w:t>a</w:t>
            </w:r>
            <w:r w:rsidRPr="00954A2C">
              <w:rPr>
                <w:rFonts w:cs="Times New Roman"/>
                <w:bCs/>
                <w:sz w:val="20"/>
              </w:rPr>
              <w:t>npower</w:t>
            </w:r>
          </w:p>
        </w:tc>
        <w:tc>
          <w:tcPr>
            <w:tcW w:w="525" w:type="dxa"/>
            <w:textDirection w:val="btLr"/>
            <w:hideMark/>
          </w:tcPr>
          <w:p w:rsidR="00150075" w:rsidRPr="00954A2C" w:rsidRDefault="00150075" w:rsidP="001F46DC">
            <w:pPr>
              <w:rPr>
                <w:rFonts w:cs="Times New Roman"/>
                <w:sz w:val="20"/>
              </w:rPr>
            </w:pPr>
            <w:r w:rsidRPr="00954A2C">
              <w:rPr>
                <w:rFonts w:cs="Times New Roman"/>
                <w:bCs/>
                <w:sz w:val="20"/>
              </w:rPr>
              <w:t>Iron &amp; Steel Production</w:t>
            </w:r>
          </w:p>
        </w:tc>
        <w:tc>
          <w:tcPr>
            <w:tcW w:w="525" w:type="dxa"/>
            <w:textDirection w:val="btLr"/>
            <w:hideMark/>
          </w:tcPr>
          <w:p w:rsidR="00150075" w:rsidRPr="00954A2C" w:rsidRDefault="00150075" w:rsidP="001F46DC">
            <w:pPr>
              <w:rPr>
                <w:rFonts w:cs="Times New Roman"/>
                <w:sz w:val="20"/>
              </w:rPr>
            </w:pPr>
            <w:r w:rsidRPr="00954A2C">
              <w:rPr>
                <w:rFonts w:cs="Times New Roman"/>
                <w:bCs/>
                <w:sz w:val="20"/>
              </w:rPr>
              <w:t>Energy Use</w:t>
            </w:r>
          </w:p>
        </w:tc>
        <w:tc>
          <w:tcPr>
            <w:tcW w:w="525" w:type="dxa"/>
            <w:textDirection w:val="btLr"/>
            <w:hideMark/>
          </w:tcPr>
          <w:p w:rsidR="00150075" w:rsidRPr="00954A2C" w:rsidRDefault="00150075" w:rsidP="001F46DC">
            <w:pPr>
              <w:rPr>
                <w:rFonts w:cs="Times New Roman"/>
                <w:sz w:val="20"/>
              </w:rPr>
            </w:pPr>
            <w:r w:rsidRPr="00954A2C">
              <w:rPr>
                <w:rFonts w:cs="Times New Roman"/>
                <w:bCs/>
                <w:sz w:val="20"/>
              </w:rPr>
              <w:t>Urban Population</w:t>
            </w:r>
          </w:p>
        </w:tc>
        <w:tc>
          <w:tcPr>
            <w:tcW w:w="525" w:type="dxa"/>
            <w:textDirection w:val="btLr"/>
            <w:hideMark/>
          </w:tcPr>
          <w:p w:rsidR="00150075" w:rsidRPr="00954A2C" w:rsidRDefault="00150075" w:rsidP="001F46DC">
            <w:pPr>
              <w:rPr>
                <w:rFonts w:cs="Times New Roman"/>
                <w:sz w:val="20"/>
              </w:rPr>
            </w:pPr>
            <w:r w:rsidRPr="00954A2C">
              <w:rPr>
                <w:rFonts w:cs="Times New Roman"/>
                <w:bCs/>
                <w:sz w:val="20"/>
              </w:rPr>
              <w:t>Military Spending</w:t>
            </w:r>
          </w:p>
        </w:tc>
        <w:tc>
          <w:tcPr>
            <w:tcW w:w="610" w:type="dxa"/>
            <w:textDirection w:val="btLr"/>
            <w:hideMark/>
          </w:tcPr>
          <w:p w:rsidR="00150075" w:rsidRPr="00954A2C" w:rsidRDefault="00150075" w:rsidP="001F46DC">
            <w:pPr>
              <w:rPr>
                <w:rFonts w:cs="Times New Roman"/>
                <w:sz w:val="20"/>
              </w:rPr>
            </w:pPr>
            <w:r w:rsidRPr="00954A2C">
              <w:rPr>
                <w:rFonts w:cs="Times New Roman"/>
                <w:bCs/>
                <w:sz w:val="20"/>
              </w:rPr>
              <w:t>Population</w:t>
            </w:r>
          </w:p>
        </w:tc>
        <w:tc>
          <w:tcPr>
            <w:tcW w:w="525" w:type="dxa"/>
            <w:textDirection w:val="btLr"/>
            <w:hideMark/>
          </w:tcPr>
          <w:p w:rsidR="00150075" w:rsidRPr="00954A2C" w:rsidRDefault="00150075" w:rsidP="001F46DC">
            <w:pPr>
              <w:rPr>
                <w:rFonts w:cs="Times New Roman"/>
                <w:sz w:val="20"/>
              </w:rPr>
            </w:pPr>
            <w:r w:rsidRPr="00954A2C">
              <w:rPr>
                <w:rFonts w:cs="Times New Roman"/>
                <w:bCs/>
                <w:sz w:val="20"/>
              </w:rPr>
              <w:t>Telephones</w:t>
            </w:r>
          </w:p>
        </w:tc>
        <w:tc>
          <w:tcPr>
            <w:tcW w:w="473" w:type="dxa"/>
            <w:textDirection w:val="btLr"/>
            <w:hideMark/>
          </w:tcPr>
          <w:p w:rsidR="00150075" w:rsidRPr="00954A2C" w:rsidRDefault="00150075" w:rsidP="001F46DC">
            <w:pPr>
              <w:rPr>
                <w:rFonts w:cs="Times New Roman"/>
                <w:sz w:val="20"/>
              </w:rPr>
            </w:pPr>
            <w:r w:rsidRPr="00954A2C">
              <w:rPr>
                <w:rFonts w:cs="Times New Roman"/>
                <w:bCs/>
                <w:sz w:val="20"/>
              </w:rPr>
              <w:t>Industrial Value Added</w:t>
            </w:r>
          </w:p>
        </w:tc>
        <w:tc>
          <w:tcPr>
            <w:tcW w:w="516" w:type="dxa"/>
            <w:textDirection w:val="btLr"/>
            <w:hideMark/>
          </w:tcPr>
          <w:p w:rsidR="00150075" w:rsidRPr="00954A2C" w:rsidRDefault="00150075" w:rsidP="001F46DC">
            <w:pPr>
              <w:rPr>
                <w:rFonts w:cs="Times New Roman"/>
                <w:sz w:val="20"/>
              </w:rPr>
            </w:pPr>
            <w:r>
              <w:rPr>
                <w:rFonts w:cs="Times New Roman"/>
                <w:bCs/>
                <w:sz w:val="20"/>
              </w:rPr>
              <w:t>GDP, market rate (EW)</w:t>
            </w:r>
          </w:p>
        </w:tc>
        <w:tc>
          <w:tcPr>
            <w:tcW w:w="525" w:type="dxa"/>
            <w:textDirection w:val="btLr"/>
            <w:hideMark/>
          </w:tcPr>
          <w:p w:rsidR="00150075" w:rsidRPr="00954A2C" w:rsidRDefault="00150075" w:rsidP="001F46DC">
            <w:pPr>
              <w:rPr>
                <w:rFonts w:cs="Times New Roman"/>
                <w:sz w:val="20"/>
              </w:rPr>
            </w:pPr>
            <w:r w:rsidRPr="00954A2C">
              <w:rPr>
                <w:rFonts w:cs="Times New Roman"/>
                <w:bCs/>
                <w:sz w:val="20"/>
              </w:rPr>
              <w:t>Foreign Exchange Reserves</w:t>
            </w:r>
            <w:r>
              <w:rPr>
                <w:rFonts w:cs="Times New Roman"/>
                <w:bCs/>
                <w:sz w:val="20"/>
              </w:rPr>
              <w:t xml:space="preserve">  (FWFX)</w:t>
            </w:r>
          </w:p>
        </w:tc>
        <w:tc>
          <w:tcPr>
            <w:tcW w:w="525" w:type="dxa"/>
            <w:textDirection w:val="btLr"/>
            <w:hideMark/>
          </w:tcPr>
          <w:p w:rsidR="00150075" w:rsidRPr="00954A2C" w:rsidRDefault="00150075" w:rsidP="001F46DC">
            <w:pPr>
              <w:rPr>
                <w:rFonts w:cs="Times New Roman"/>
                <w:sz w:val="20"/>
              </w:rPr>
            </w:pPr>
            <w:r w:rsidRPr="00954A2C">
              <w:rPr>
                <w:rFonts w:cs="Times New Roman"/>
                <w:sz w:val="20"/>
              </w:rPr>
              <w:t>Current Account Surplus</w:t>
            </w:r>
            <w:r>
              <w:rPr>
                <w:rFonts w:cs="Times New Roman"/>
                <w:sz w:val="20"/>
              </w:rPr>
              <w:t xml:space="preserve">  (CAS)</w:t>
            </w:r>
          </w:p>
        </w:tc>
        <w:tc>
          <w:tcPr>
            <w:tcW w:w="525" w:type="dxa"/>
            <w:textDirection w:val="btLr"/>
            <w:hideMark/>
          </w:tcPr>
          <w:p w:rsidR="00150075" w:rsidRPr="00954A2C" w:rsidRDefault="00150075" w:rsidP="001F46DC">
            <w:pPr>
              <w:rPr>
                <w:rFonts w:cs="Times New Roman"/>
                <w:sz w:val="20"/>
              </w:rPr>
            </w:pPr>
            <w:r w:rsidRPr="00954A2C">
              <w:rPr>
                <w:rFonts w:cs="Times New Roman"/>
                <w:sz w:val="20"/>
              </w:rPr>
              <w:t>Trade Transactions</w:t>
            </w:r>
            <w:r>
              <w:rPr>
                <w:rFonts w:cs="Times New Roman"/>
                <w:sz w:val="20"/>
              </w:rPr>
              <w:t xml:space="preserve">  (TST)</w:t>
            </w:r>
          </w:p>
        </w:tc>
        <w:tc>
          <w:tcPr>
            <w:tcW w:w="525" w:type="dxa"/>
            <w:textDirection w:val="btLr"/>
            <w:hideMark/>
          </w:tcPr>
          <w:p w:rsidR="00150075" w:rsidRPr="00954A2C" w:rsidRDefault="00150075" w:rsidP="001F46DC">
            <w:pPr>
              <w:rPr>
                <w:rFonts w:cs="Times New Roman"/>
                <w:sz w:val="20"/>
              </w:rPr>
            </w:pPr>
            <w:r w:rsidRPr="00954A2C">
              <w:rPr>
                <w:rFonts w:cs="Times New Roman"/>
                <w:sz w:val="20"/>
              </w:rPr>
              <w:t>Domestic Financial Assets</w:t>
            </w:r>
            <w:r>
              <w:rPr>
                <w:rFonts w:cs="Times New Roman"/>
                <w:sz w:val="20"/>
              </w:rPr>
              <w:t xml:space="preserve"> (FWD)</w:t>
            </w:r>
          </w:p>
        </w:tc>
        <w:tc>
          <w:tcPr>
            <w:tcW w:w="610" w:type="dxa"/>
            <w:textDirection w:val="btLr"/>
            <w:hideMark/>
          </w:tcPr>
          <w:p w:rsidR="00150075" w:rsidRPr="00954A2C" w:rsidRDefault="00150075" w:rsidP="001F46DC">
            <w:pPr>
              <w:rPr>
                <w:rFonts w:cs="Times New Roman"/>
                <w:sz w:val="20"/>
              </w:rPr>
            </w:pPr>
            <w:r w:rsidRPr="00954A2C">
              <w:rPr>
                <w:rFonts w:cs="Times New Roman"/>
                <w:sz w:val="20"/>
              </w:rPr>
              <w:t>Net Foreign  Financial  Assets</w:t>
            </w:r>
            <w:r>
              <w:rPr>
                <w:rFonts w:cs="Times New Roman"/>
                <w:sz w:val="20"/>
              </w:rPr>
              <w:t xml:space="preserve">  (CWI)</w:t>
            </w:r>
          </w:p>
        </w:tc>
        <w:tc>
          <w:tcPr>
            <w:tcW w:w="525" w:type="dxa"/>
            <w:textDirection w:val="btLr"/>
            <w:hideMark/>
          </w:tcPr>
          <w:p w:rsidR="00150075" w:rsidRPr="00954A2C" w:rsidRDefault="00150075" w:rsidP="001F46DC">
            <w:pPr>
              <w:rPr>
                <w:rFonts w:cs="Times New Roman"/>
                <w:sz w:val="20"/>
              </w:rPr>
            </w:pPr>
            <w:r>
              <w:rPr>
                <w:rFonts w:cs="Times New Roman"/>
                <w:sz w:val="20"/>
              </w:rPr>
              <w:t>Global Financial Contracts  (MSIF)</w:t>
            </w:r>
          </w:p>
        </w:tc>
        <w:tc>
          <w:tcPr>
            <w:tcW w:w="793" w:type="dxa"/>
            <w:textDirection w:val="btLr"/>
            <w:hideMark/>
          </w:tcPr>
          <w:p w:rsidR="00150075" w:rsidRPr="00954A2C" w:rsidRDefault="00150075" w:rsidP="001F46DC">
            <w:pPr>
              <w:rPr>
                <w:rFonts w:cs="Times New Roman"/>
                <w:sz w:val="20"/>
              </w:rPr>
            </w:pPr>
            <w:r w:rsidRPr="00954A2C">
              <w:rPr>
                <w:rFonts w:cs="Times New Roman"/>
                <w:bCs/>
                <w:sz w:val="20"/>
              </w:rPr>
              <w:t xml:space="preserve">Currency  </w:t>
            </w:r>
            <w:r>
              <w:rPr>
                <w:rFonts w:cs="Times New Roman"/>
                <w:bCs/>
                <w:sz w:val="20"/>
              </w:rPr>
              <w:t>Share in</w:t>
            </w:r>
            <w:r w:rsidRPr="00954A2C">
              <w:rPr>
                <w:rFonts w:cs="Times New Roman"/>
                <w:bCs/>
                <w:sz w:val="20"/>
              </w:rPr>
              <w:t xml:space="preserve"> World Reserves</w:t>
            </w:r>
            <w:r>
              <w:rPr>
                <w:rFonts w:cs="Times New Roman"/>
                <w:bCs/>
                <w:sz w:val="20"/>
              </w:rPr>
              <w:t xml:space="preserve">  (CDSR)</w:t>
            </w:r>
          </w:p>
        </w:tc>
      </w:tr>
      <w:tr w:rsidR="00150075" w:rsidRPr="00A56142" w:rsidTr="001F46DC">
        <w:trPr>
          <w:trHeight w:val="669"/>
        </w:trPr>
        <w:tc>
          <w:tcPr>
            <w:tcW w:w="3067" w:type="dxa"/>
          </w:tcPr>
          <w:p w:rsidR="00150075" w:rsidRPr="00954A2C" w:rsidRDefault="00150075" w:rsidP="001F46DC">
            <w:pPr>
              <w:rPr>
                <w:rFonts w:cs="Times New Roman"/>
              </w:rPr>
            </w:pPr>
            <w:r w:rsidRPr="00954A2C">
              <w:rPr>
                <w:rFonts w:cs="Times New Roman"/>
              </w:rPr>
              <w:t>Composite Index of National Capabilities (CINC)</w:t>
            </w:r>
          </w:p>
        </w:tc>
        <w:tc>
          <w:tcPr>
            <w:tcW w:w="2178" w:type="dxa"/>
            <w:vMerge w:val="restart"/>
            <w:vAlign w:val="center"/>
          </w:tcPr>
          <w:p w:rsidR="00150075" w:rsidRPr="00954A2C" w:rsidRDefault="00150075" w:rsidP="001F46DC">
            <w:pPr>
              <w:rPr>
                <w:rFonts w:cs="Times New Roman"/>
              </w:rPr>
            </w:pPr>
            <w:r>
              <w:rPr>
                <w:rFonts w:cs="Times New Roman"/>
              </w:rPr>
              <w:t xml:space="preserve">Traditional “Power” </w:t>
            </w:r>
          </w:p>
        </w:tc>
        <w:tc>
          <w:tcPr>
            <w:tcW w:w="524" w:type="dxa"/>
            <w:vAlign w:val="center"/>
            <w:hideMark/>
          </w:tcPr>
          <w:p w:rsidR="00150075" w:rsidRPr="00954A2C" w:rsidRDefault="00150075" w:rsidP="001F46DC">
            <w:pPr>
              <w:jc w:val="center"/>
              <w:rPr>
                <w:rFonts w:cs="Times New Roman"/>
              </w:rPr>
            </w:pPr>
            <w:r w:rsidRPr="00954A2C">
              <w:rPr>
                <w:rFonts w:cs="Times New Roman"/>
              </w:rPr>
              <w:t>X</w:t>
            </w:r>
          </w:p>
        </w:tc>
        <w:tc>
          <w:tcPr>
            <w:tcW w:w="525" w:type="dxa"/>
            <w:vAlign w:val="center"/>
            <w:hideMark/>
          </w:tcPr>
          <w:p w:rsidR="00150075" w:rsidRPr="00954A2C" w:rsidRDefault="00150075" w:rsidP="001F46DC">
            <w:pPr>
              <w:jc w:val="center"/>
              <w:rPr>
                <w:rFonts w:cs="Times New Roman"/>
              </w:rPr>
            </w:pPr>
            <w:r w:rsidRPr="00954A2C">
              <w:rPr>
                <w:rFonts w:cs="Times New Roman"/>
              </w:rPr>
              <w:t>X</w:t>
            </w:r>
          </w:p>
        </w:tc>
        <w:tc>
          <w:tcPr>
            <w:tcW w:w="525" w:type="dxa"/>
            <w:vAlign w:val="center"/>
            <w:hideMark/>
          </w:tcPr>
          <w:p w:rsidR="00150075" w:rsidRPr="00954A2C" w:rsidRDefault="00150075" w:rsidP="001F46DC">
            <w:pPr>
              <w:jc w:val="center"/>
              <w:rPr>
                <w:rFonts w:cs="Times New Roman"/>
              </w:rPr>
            </w:pPr>
            <w:r w:rsidRPr="00954A2C">
              <w:rPr>
                <w:rFonts w:cs="Times New Roman"/>
              </w:rPr>
              <w:t>X</w:t>
            </w:r>
          </w:p>
        </w:tc>
        <w:tc>
          <w:tcPr>
            <w:tcW w:w="525" w:type="dxa"/>
            <w:vAlign w:val="center"/>
            <w:hideMark/>
          </w:tcPr>
          <w:p w:rsidR="00150075" w:rsidRPr="00954A2C" w:rsidRDefault="00150075" w:rsidP="001F46DC">
            <w:pPr>
              <w:jc w:val="center"/>
              <w:rPr>
                <w:rFonts w:cs="Times New Roman"/>
              </w:rPr>
            </w:pPr>
            <w:r w:rsidRPr="00954A2C">
              <w:rPr>
                <w:rFonts w:cs="Times New Roman"/>
              </w:rPr>
              <w:t>X</w:t>
            </w:r>
          </w:p>
        </w:tc>
        <w:tc>
          <w:tcPr>
            <w:tcW w:w="525" w:type="dxa"/>
            <w:vAlign w:val="center"/>
            <w:hideMark/>
          </w:tcPr>
          <w:p w:rsidR="00150075" w:rsidRPr="00954A2C" w:rsidRDefault="00150075" w:rsidP="001F46DC">
            <w:pPr>
              <w:jc w:val="center"/>
              <w:rPr>
                <w:rFonts w:cs="Times New Roman"/>
              </w:rPr>
            </w:pPr>
            <w:r w:rsidRPr="00954A2C">
              <w:rPr>
                <w:rFonts w:cs="Times New Roman"/>
              </w:rPr>
              <w:t>X</w:t>
            </w:r>
          </w:p>
        </w:tc>
        <w:tc>
          <w:tcPr>
            <w:tcW w:w="610" w:type="dxa"/>
            <w:vAlign w:val="center"/>
            <w:hideMark/>
          </w:tcPr>
          <w:p w:rsidR="00150075" w:rsidRPr="00954A2C" w:rsidRDefault="00150075" w:rsidP="001F46DC">
            <w:pPr>
              <w:jc w:val="center"/>
              <w:rPr>
                <w:rFonts w:cs="Times New Roman"/>
              </w:rPr>
            </w:pPr>
            <w:r w:rsidRPr="00954A2C">
              <w:rPr>
                <w:rFonts w:cs="Times New Roman"/>
              </w:rPr>
              <w:t>X</w:t>
            </w:r>
          </w:p>
        </w:tc>
        <w:tc>
          <w:tcPr>
            <w:tcW w:w="525" w:type="dxa"/>
            <w:vAlign w:val="center"/>
            <w:hideMark/>
          </w:tcPr>
          <w:p w:rsidR="00150075" w:rsidRPr="00954A2C" w:rsidRDefault="00150075" w:rsidP="001F46DC">
            <w:pPr>
              <w:jc w:val="center"/>
              <w:rPr>
                <w:rFonts w:cs="Times New Roman"/>
              </w:rPr>
            </w:pPr>
          </w:p>
        </w:tc>
        <w:tc>
          <w:tcPr>
            <w:tcW w:w="473" w:type="dxa"/>
            <w:vAlign w:val="center"/>
            <w:hideMark/>
          </w:tcPr>
          <w:p w:rsidR="00150075" w:rsidRPr="00954A2C" w:rsidRDefault="00150075" w:rsidP="001F46DC">
            <w:pPr>
              <w:jc w:val="center"/>
              <w:rPr>
                <w:rFonts w:cs="Times New Roman"/>
              </w:rPr>
            </w:pPr>
          </w:p>
        </w:tc>
        <w:tc>
          <w:tcPr>
            <w:tcW w:w="516" w:type="dxa"/>
            <w:vAlign w:val="center"/>
            <w:hideMark/>
          </w:tcPr>
          <w:p w:rsidR="00150075" w:rsidRPr="00954A2C" w:rsidRDefault="00150075" w:rsidP="001F46DC">
            <w:pPr>
              <w:jc w:val="center"/>
              <w:rPr>
                <w:rFonts w:cs="Times New Roman"/>
              </w:rPr>
            </w:pPr>
          </w:p>
        </w:tc>
        <w:tc>
          <w:tcPr>
            <w:tcW w:w="525" w:type="dxa"/>
            <w:vAlign w:val="center"/>
            <w:hideMark/>
          </w:tcPr>
          <w:p w:rsidR="00150075" w:rsidRPr="00954A2C" w:rsidRDefault="00150075" w:rsidP="001F46DC">
            <w:pPr>
              <w:jc w:val="center"/>
              <w:rPr>
                <w:rFonts w:cs="Times New Roman"/>
              </w:rPr>
            </w:pPr>
          </w:p>
        </w:tc>
        <w:tc>
          <w:tcPr>
            <w:tcW w:w="525" w:type="dxa"/>
            <w:vAlign w:val="center"/>
            <w:hideMark/>
          </w:tcPr>
          <w:p w:rsidR="00150075" w:rsidRPr="00954A2C" w:rsidRDefault="00150075" w:rsidP="001F46DC">
            <w:pPr>
              <w:jc w:val="center"/>
              <w:rPr>
                <w:rFonts w:cs="Times New Roman"/>
              </w:rPr>
            </w:pPr>
          </w:p>
        </w:tc>
        <w:tc>
          <w:tcPr>
            <w:tcW w:w="525" w:type="dxa"/>
            <w:vAlign w:val="center"/>
            <w:hideMark/>
          </w:tcPr>
          <w:p w:rsidR="00150075" w:rsidRPr="00954A2C" w:rsidRDefault="00150075" w:rsidP="001F46DC">
            <w:pPr>
              <w:jc w:val="center"/>
              <w:rPr>
                <w:rFonts w:cs="Times New Roman"/>
              </w:rPr>
            </w:pPr>
          </w:p>
        </w:tc>
        <w:tc>
          <w:tcPr>
            <w:tcW w:w="525" w:type="dxa"/>
            <w:vAlign w:val="center"/>
            <w:hideMark/>
          </w:tcPr>
          <w:p w:rsidR="00150075" w:rsidRPr="00954A2C" w:rsidRDefault="00150075" w:rsidP="001F46DC">
            <w:pPr>
              <w:jc w:val="center"/>
              <w:rPr>
                <w:rFonts w:cs="Times New Roman"/>
              </w:rPr>
            </w:pPr>
          </w:p>
        </w:tc>
        <w:tc>
          <w:tcPr>
            <w:tcW w:w="610" w:type="dxa"/>
            <w:vAlign w:val="center"/>
            <w:hideMark/>
          </w:tcPr>
          <w:p w:rsidR="00150075" w:rsidRPr="00954A2C" w:rsidRDefault="00150075" w:rsidP="001F46DC">
            <w:pPr>
              <w:jc w:val="center"/>
              <w:rPr>
                <w:rFonts w:cs="Times New Roman"/>
              </w:rPr>
            </w:pPr>
          </w:p>
        </w:tc>
        <w:tc>
          <w:tcPr>
            <w:tcW w:w="525" w:type="dxa"/>
            <w:vAlign w:val="center"/>
            <w:hideMark/>
          </w:tcPr>
          <w:p w:rsidR="00150075" w:rsidRPr="00954A2C" w:rsidRDefault="00150075" w:rsidP="001F46DC">
            <w:pPr>
              <w:jc w:val="center"/>
              <w:rPr>
                <w:rFonts w:cs="Times New Roman"/>
              </w:rPr>
            </w:pPr>
          </w:p>
        </w:tc>
        <w:tc>
          <w:tcPr>
            <w:tcW w:w="793" w:type="dxa"/>
            <w:vAlign w:val="center"/>
            <w:hideMark/>
          </w:tcPr>
          <w:p w:rsidR="00150075" w:rsidRPr="00954A2C" w:rsidRDefault="00150075" w:rsidP="001F46DC">
            <w:pPr>
              <w:jc w:val="center"/>
              <w:rPr>
                <w:rFonts w:cs="Times New Roman"/>
              </w:rPr>
            </w:pPr>
          </w:p>
        </w:tc>
      </w:tr>
      <w:tr w:rsidR="00150075" w:rsidRPr="00A56142" w:rsidTr="001F46DC">
        <w:trPr>
          <w:trHeight w:val="669"/>
        </w:trPr>
        <w:tc>
          <w:tcPr>
            <w:tcW w:w="3067" w:type="dxa"/>
          </w:tcPr>
          <w:p w:rsidR="00150075" w:rsidRPr="00954A2C" w:rsidRDefault="00150075" w:rsidP="001F46DC">
            <w:pPr>
              <w:rPr>
                <w:rFonts w:cs="Times New Roman"/>
              </w:rPr>
            </w:pPr>
            <w:r w:rsidRPr="00954A2C">
              <w:rPr>
                <w:rFonts w:cs="Times New Roman"/>
              </w:rPr>
              <w:t>Contemporary Capabilities Index (CCI)</w:t>
            </w:r>
          </w:p>
        </w:tc>
        <w:tc>
          <w:tcPr>
            <w:tcW w:w="2178" w:type="dxa"/>
            <w:vMerge/>
          </w:tcPr>
          <w:p w:rsidR="00150075" w:rsidRPr="00954A2C" w:rsidRDefault="00150075" w:rsidP="001F46DC">
            <w:pPr>
              <w:rPr>
                <w:rFonts w:cs="Times New Roman"/>
              </w:rPr>
            </w:pPr>
          </w:p>
        </w:tc>
        <w:tc>
          <w:tcPr>
            <w:tcW w:w="524" w:type="dxa"/>
            <w:vAlign w:val="center"/>
            <w:hideMark/>
          </w:tcPr>
          <w:p w:rsidR="00150075" w:rsidRPr="00954A2C" w:rsidRDefault="00150075" w:rsidP="001F46DC">
            <w:pPr>
              <w:jc w:val="center"/>
              <w:rPr>
                <w:rFonts w:cs="Times New Roman"/>
              </w:rPr>
            </w:pPr>
          </w:p>
        </w:tc>
        <w:tc>
          <w:tcPr>
            <w:tcW w:w="525" w:type="dxa"/>
            <w:vAlign w:val="center"/>
            <w:hideMark/>
          </w:tcPr>
          <w:p w:rsidR="00150075" w:rsidRPr="00954A2C" w:rsidRDefault="00150075" w:rsidP="001F46DC">
            <w:pPr>
              <w:jc w:val="center"/>
              <w:rPr>
                <w:rFonts w:cs="Times New Roman"/>
              </w:rPr>
            </w:pPr>
          </w:p>
        </w:tc>
        <w:tc>
          <w:tcPr>
            <w:tcW w:w="525" w:type="dxa"/>
            <w:vAlign w:val="center"/>
            <w:hideMark/>
          </w:tcPr>
          <w:p w:rsidR="00150075" w:rsidRPr="00954A2C" w:rsidRDefault="00150075" w:rsidP="001F46DC">
            <w:pPr>
              <w:jc w:val="center"/>
              <w:rPr>
                <w:rFonts w:cs="Times New Roman"/>
              </w:rPr>
            </w:pPr>
          </w:p>
        </w:tc>
        <w:tc>
          <w:tcPr>
            <w:tcW w:w="525" w:type="dxa"/>
            <w:vAlign w:val="center"/>
            <w:hideMark/>
          </w:tcPr>
          <w:p w:rsidR="00150075" w:rsidRPr="00954A2C" w:rsidRDefault="00150075" w:rsidP="001F46DC">
            <w:pPr>
              <w:jc w:val="center"/>
              <w:rPr>
                <w:rFonts w:cs="Times New Roman"/>
              </w:rPr>
            </w:pPr>
          </w:p>
        </w:tc>
        <w:tc>
          <w:tcPr>
            <w:tcW w:w="525" w:type="dxa"/>
            <w:vAlign w:val="center"/>
            <w:hideMark/>
          </w:tcPr>
          <w:p w:rsidR="00150075" w:rsidRPr="00954A2C" w:rsidRDefault="00150075" w:rsidP="001F46DC">
            <w:pPr>
              <w:jc w:val="center"/>
              <w:rPr>
                <w:rFonts w:cs="Times New Roman"/>
              </w:rPr>
            </w:pPr>
            <w:r w:rsidRPr="00954A2C">
              <w:rPr>
                <w:rFonts w:cs="Times New Roman"/>
              </w:rPr>
              <w:t>X</w:t>
            </w:r>
          </w:p>
        </w:tc>
        <w:tc>
          <w:tcPr>
            <w:tcW w:w="610" w:type="dxa"/>
            <w:vAlign w:val="center"/>
            <w:hideMark/>
          </w:tcPr>
          <w:p w:rsidR="00150075" w:rsidRPr="00954A2C" w:rsidRDefault="00150075" w:rsidP="001F46DC">
            <w:pPr>
              <w:jc w:val="center"/>
              <w:rPr>
                <w:rFonts w:cs="Times New Roman"/>
              </w:rPr>
            </w:pPr>
            <w:r w:rsidRPr="00954A2C">
              <w:rPr>
                <w:rFonts w:cs="Times New Roman"/>
              </w:rPr>
              <w:t>X</w:t>
            </w:r>
          </w:p>
        </w:tc>
        <w:tc>
          <w:tcPr>
            <w:tcW w:w="525" w:type="dxa"/>
            <w:vAlign w:val="center"/>
            <w:hideMark/>
          </w:tcPr>
          <w:p w:rsidR="00150075" w:rsidRPr="00954A2C" w:rsidRDefault="00150075" w:rsidP="001F46DC">
            <w:pPr>
              <w:jc w:val="center"/>
              <w:rPr>
                <w:rFonts w:cs="Times New Roman"/>
              </w:rPr>
            </w:pPr>
            <w:r w:rsidRPr="00954A2C">
              <w:rPr>
                <w:rFonts w:cs="Times New Roman"/>
              </w:rPr>
              <w:t>X</w:t>
            </w:r>
          </w:p>
        </w:tc>
        <w:tc>
          <w:tcPr>
            <w:tcW w:w="473" w:type="dxa"/>
            <w:vAlign w:val="center"/>
            <w:hideMark/>
          </w:tcPr>
          <w:p w:rsidR="00150075" w:rsidRPr="00954A2C" w:rsidRDefault="00150075" w:rsidP="001F46DC">
            <w:pPr>
              <w:jc w:val="center"/>
              <w:rPr>
                <w:rFonts w:cs="Times New Roman"/>
              </w:rPr>
            </w:pPr>
            <w:r w:rsidRPr="00954A2C">
              <w:rPr>
                <w:rFonts w:cs="Times New Roman"/>
              </w:rPr>
              <w:t>X</w:t>
            </w:r>
          </w:p>
        </w:tc>
        <w:tc>
          <w:tcPr>
            <w:tcW w:w="516" w:type="dxa"/>
            <w:vAlign w:val="center"/>
            <w:hideMark/>
          </w:tcPr>
          <w:p w:rsidR="00150075" w:rsidRPr="00954A2C" w:rsidRDefault="00150075" w:rsidP="001F46DC">
            <w:pPr>
              <w:jc w:val="center"/>
              <w:rPr>
                <w:rFonts w:cs="Times New Roman"/>
              </w:rPr>
            </w:pPr>
            <w:r w:rsidRPr="00954A2C">
              <w:rPr>
                <w:rFonts w:cs="Times New Roman"/>
              </w:rPr>
              <w:t>X</w:t>
            </w:r>
          </w:p>
        </w:tc>
        <w:tc>
          <w:tcPr>
            <w:tcW w:w="525" w:type="dxa"/>
            <w:vAlign w:val="center"/>
            <w:hideMark/>
          </w:tcPr>
          <w:p w:rsidR="00150075" w:rsidRPr="00954A2C" w:rsidRDefault="00150075" w:rsidP="001F46DC">
            <w:pPr>
              <w:jc w:val="center"/>
              <w:rPr>
                <w:rFonts w:cs="Times New Roman"/>
              </w:rPr>
            </w:pPr>
            <w:r w:rsidRPr="00954A2C">
              <w:rPr>
                <w:rFonts w:cs="Times New Roman"/>
              </w:rPr>
              <w:t>X</w:t>
            </w:r>
          </w:p>
        </w:tc>
        <w:tc>
          <w:tcPr>
            <w:tcW w:w="525" w:type="dxa"/>
            <w:vAlign w:val="center"/>
            <w:hideMark/>
          </w:tcPr>
          <w:p w:rsidR="00150075" w:rsidRPr="00954A2C" w:rsidRDefault="00150075" w:rsidP="001F46DC">
            <w:pPr>
              <w:jc w:val="center"/>
              <w:rPr>
                <w:rFonts w:cs="Times New Roman"/>
              </w:rPr>
            </w:pPr>
          </w:p>
        </w:tc>
        <w:tc>
          <w:tcPr>
            <w:tcW w:w="525" w:type="dxa"/>
            <w:vAlign w:val="center"/>
            <w:hideMark/>
          </w:tcPr>
          <w:p w:rsidR="00150075" w:rsidRPr="00954A2C" w:rsidRDefault="00150075" w:rsidP="001F46DC">
            <w:pPr>
              <w:jc w:val="center"/>
              <w:rPr>
                <w:rFonts w:cs="Times New Roman"/>
              </w:rPr>
            </w:pPr>
          </w:p>
        </w:tc>
        <w:tc>
          <w:tcPr>
            <w:tcW w:w="525" w:type="dxa"/>
            <w:vAlign w:val="center"/>
            <w:hideMark/>
          </w:tcPr>
          <w:p w:rsidR="00150075" w:rsidRPr="00954A2C" w:rsidRDefault="00150075" w:rsidP="001F46DC">
            <w:pPr>
              <w:jc w:val="center"/>
              <w:rPr>
                <w:rFonts w:cs="Times New Roman"/>
              </w:rPr>
            </w:pPr>
          </w:p>
        </w:tc>
        <w:tc>
          <w:tcPr>
            <w:tcW w:w="610" w:type="dxa"/>
            <w:vAlign w:val="center"/>
            <w:hideMark/>
          </w:tcPr>
          <w:p w:rsidR="00150075" w:rsidRPr="00954A2C" w:rsidRDefault="00150075" w:rsidP="001F46DC">
            <w:pPr>
              <w:jc w:val="center"/>
              <w:rPr>
                <w:rFonts w:cs="Times New Roman"/>
              </w:rPr>
            </w:pPr>
          </w:p>
        </w:tc>
        <w:tc>
          <w:tcPr>
            <w:tcW w:w="525" w:type="dxa"/>
            <w:vAlign w:val="center"/>
            <w:hideMark/>
          </w:tcPr>
          <w:p w:rsidR="00150075" w:rsidRPr="00954A2C" w:rsidRDefault="00150075" w:rsidP="001F46DC">
            <w:pPr>
              <w:jc w:val="center"/>
              <w:rPr>
                <w:rFonts w:cs="Times New Roman"/>
              </w:rPr>
            </w:pPr>
          </w:p>
        </w:tc>
        <w:tc>
          <w:tcPr>
            <w:tcW w:w="793" w:type="dxa"/>
            <w:vAlign w:val="center"/>
            <w:hideMark/>
          </w:tcPr>
          <w:p w:rsidR="00150075" w:rsidRPr="00954A2C" w:rsidRDefault="00150075" w:rsidP="001F46DC">
            <w:pPr>
              <w:jc w:val="center"/>
              <w:rPr>
                <w:rFonts w:cs="Times New Roman"/>
              </w:rPr>
            </w:pPr>
          </w:p>
        </w:tc>
      </w:tr>
      <w:tr w:rsidR="00150075" w:rsidRPr="00930948" w:rsidTr="001F46DC">
        <w:trPr>
          <w:trHeight w:val="669"/>
        </w:trPr>
        <w:tc>
          <w:tcPr>
            <w:tcW w:w="3067" w:type="dxa"/>
          </w:tcPr>
          <w:p w:rsidR="00150075" w:rsidRPr="00954A2C" w:rsidRDefault="00150075" w:rsidP="001F46DC">
            <w:pPr>
              <w:rPr>
                <w:rFonts w:cs="Times New Roman"/>
              </w:rPr>
            </w:pPr>
            <w:r w:rsidRPr="00954A2C">
              <w:rPr>
                <w:rFonts w:cs="Times New Roman"/>
              </w:rPr>
              <w:t xml:space="preserve">Correlates of Monetary Capabilities Index (CMCI) </w:t>
            </w:r>
          </w:p>
        </w:tc>
        <w:tc>
          <w:tcPr>
            <w:tcW w:w="2178" w:type="dxa"/>
          </w:tcPr>
          <w:p w:rsidR="00150075" w:rsidRPr="00954A2C" w:rsidRDefault="00150075" w:rsidP="001F46DC">
            <w:pPr>
              <w:rPr>
                <w:rFonts w:cs="Times New Roman"/>
              </w:rPr>
            </w:pPr>
            <w:r w:rsidRPr="00954A2C">
              <w:rPr>
                <w:rFonts w:cs="Times New Roman"/>
              </w:rPr>
              <w:t>Fin</w:t>
            </w:r>
            <w:r>
              <w:rPr>
                <w:rFonts w:cs="Times New Roman"/>
              </w:rPr>
              <w:t xml:space="preserve">ancial “Power” </w:t>
            </w:r>
            <w:r w:rsidRPr="00DC76E3">
              <w:rPr>
                <w:rFonts w:cs="Times New Roman"/>
              </w:rPr>
              <w:t>(currency)</w:t>
            </w:r>
          </w:p>
        </w:tc>
        <w:tc>
          <w:tcPr>
            <w:tcW w:w="524" w:type="dxa"/>
            <w:vAlign w:val="center"/>
            <w:hideMark/>
          </w:tcPr>
          <w:p w:rsidR="00150075" w:rsidRPr="00954A2C" w:rsidRDefault="00150075" w:rsidP="001F46DC">
            <w:pPr>
              <w:jc w:val="center"/>
              <w:rPr>
                <w:rFonts w:cs="Times New Roman"/>
              </w:rPr>
            </w:pPr>
          </w:p>
        </w:tc>
        <w:tc>
          <w:tcPr>
            <w:tcW w:w="525" w:type="dxa"/>
            <w:vAlign w:val="center"/>
            <w:hideMark/>
          </w:tcPr>
          <w:p w:rsidR="00150075" w:rsidRPr="00954A2C" w:rsidRDefault="00150075" w:rsidP="001F46DC">
            <w:pPr>
              <w:jc w:val="center"/>
              <w:rPr>
                <w:rFonts w:cs="Times New Roman"/>
              </w:rPr>
            </w:pPr>
          </w:p>
        </w:tc>
        <w:tc>
          <w:tcPr>
            <w:tcW w:w="525" w:type="dxa"/>
            <w:vAlign w:val="center"/>
            <w:hideMark/>
          </w:tcPr>
          <w:p w:rsidR="00150075" w:rsidRPr="00954A2C" w:rsidRDefault="00150075" w:rsidP="001F46DC">
            <w:pPr>
              <w:jc w:val="center"/>
              <w:rPr>
                <w:rFonts w:cs="Times New Roman"/>
              </w:rPr>
            </w:pPr>
          </w:p>
        </w:tc>
        <w:tc>
          <w:tcPr>
            <w:tcW w:w="525" w:type="dxa"/>
            <w:vAlign w:val="center"/>
            <w:hideMark/>
          </w:tcPr>
          <w:p w:rsidR="00150075" w:rsidRPr="00954A2C" w:rsidRDefault="00150075" w:rsidP="001F46DC">
            <w:pPr>
              <w:jc w:val="center"/>
              <w:rPr>
                <w:rFonts w:cs="Times New Roman"/>
              </w:rPr>
            </w:pPr>
          </w:p>
        </w:tc>
        <w:tc>
          <w:tcPr>
            <w:tcW w:w="525" w:type="dxa"/>
            <w:vAlign w:val="center"/>
            <w:hideMark/>
          </w:tcPr>
          <w:p w:rsidR="00150075" w:rsidRPr="00954A2C" w:rsidRDefault="00150075" w:rsidP="001F46DC">
            <w:pPr>
              <w:jc w:val="center"/>
              <w:rPr>
                <w:rFonts w:cs="Times New Roman"/>
              </w:rPr>
            </w:pPr>
          </w:p>
        </w:tc>
        <w:tc>
          <w:tcPr>
            <w:tcW w:w="610" w:type="dxa"/>
            <w:vAlign w:val="center"/>
            <w:hideMark/>
          </w:tcPr>
          <w:p w:rsidR="00150075" w:rsidRPr="00954A2C" w:rsidRDefault="00150075" w:rsidP="001F46DC">
            <w:pPr>
              <w:jc w:val="center"/>
              <w:rPr>
                <w:rFonts w:cs="Times New Roman"/>
              </w:rPr>
            </w:pPr>
          </w:p>
        </w:tc>
        <w:tc>
          <w:tcPr>
            <w:tcW w:w="525" w:type="dxa"/>
            <w:vAlign w:val="center"/>
            <w:hideMark/>
          </w:tcPr>
          <w:p w:rsidR="00150075" w:rsidRPr="00954A2C" w:rsidRDefault="00150075" w:rsidP="001F46DC">
            <w:pPr>
              <w:jc w:val="center"/>
              <w:rPr>
                <w:rFonts w:cs="Times New Roman"/>
              </w:rPr>
            </w:pPr>
          </w:p>
        </w:tc>
        <w:tc>
          <w:tcPr>
            <w:tcW w:w="473" w:type="dxa"/>
            <w:vAlign w:val="center"/>
            <w:hideMark/>
          </w:tcPr>
          <w:p w:rsidR="00150075" w:rsidRPr="00954A2C" w:rsidRDefault="00150075" w:rsidP="001F46DC">
            <w:pPr>
              <w:jc w:val="center"/>
              <w:rPr>
                <w:rFonts w:cs="Times New Roman"/>
              </w:rPr>
            </w:pPr>
          </w:p>
        </w:tc>
        <w:tc>
          <w:tcPr>
            <w:tcW w:w="516" w:type="dxa"/>
            <w:vAlign w:val="center"/>
            <w:hideMark/>
          </w:tcPr>
          <w:p w:rsidR="00150075" w:rsidRPr="00954A2C" w:rsidRDefault="00150075" w:rsidP="001F46DC">
            <w:pPr>
              <w:jc w:val="center"/>
              <w:rPr>
                <w:rFonts w:cs="Times New Roman"/>
              </w:rPr>
            </w:pPr>
            <w:r w:rsidRPr="00954A2C">
              <w:rPr>
                <w:rFonts w:cs="Times New Roman"/>
              </w:rPr>
              <w:t>X</w:t>
            </w:r>
          </w:p>
        </w:tc>
        <w:tc>
          <w:tcPr>
            <w:tcW w:w="525" w:type="dxa"/>
            <w:vAlign w:val="center"/>
            <w:hideMark/>
          </w:tcPr>
          <w:p w:rsidR="00150075" w:rsidRPr="00954A2C" w:rsidRDefault="00150075" w:rsidP="001F46DC">
            <w:pPr>
              <w:jc w:val="center"/>
              <w:rPr>
                <w:rFonts w:cs="Times New Roman"/>
              </w:rPr>
            </w:pPr>
          </w:p>
        </w:tc>
        <w:tc>
          <w:tcPr>
            <w:tcW w:w="525" w:type="dxa"/>
            <w:vAlign w:val="center"/>
            <w:hideMark/>
          </w:tcPr>
          <w:p w:rsidR="00150075" w:rsidRPr="00954A2C" w:rsidRDefault="00150075" w:rsidP="001F46DC">
            <w:pPr>
              <w:jc w:val="center"/>
              <w:rPr>
                <w:rFonts w:cs="Times New Roman"/>
              </w:rPr>
            </w:pPr>
            <w:r w:rsidRPr="00954A2C">
              <w:rPr>
                <w:rFonts w:cs="Times New Roman"/>
              </w:rPr>
              <w:t>X</w:t>
            </w:r>
          </w:p>
        </w:tc>
        <w:tc>
          <w:tcPr>
            <w:tcW w:w="525" w:type="dxa"/>
            <w:vAlign w:val="center"/>
            <w:hideMark/>
          </w:tcPr>
          <w:p w:rsidR="00150075" w:rsidRPr="00954A2C" w:rsidRDefault="00150075" w:rsidP="001F46DC">
            <w:pPr>
              <w:jc w:val="center"/>
              <w:rPr>
                <w:rFonts w:cs="Times New Roman"/>
              </w:rPr>
            </w:pPr>
            <w:r w:rsidRPr="00954A2C">
              <w:rPr>
                <w:rFonts w:cs="Times New Roman"/>
              </w:rPr>
              <w:t>X</w:t>
            </w:r>
          </w:p>
        </w:tc>
        <w:tc>
          <w:tcPr>
            <w:tcW w:w="525" w:type="dxa"/>
            <w:vAlign w:val="center"/>
            <w:hideMark/>
          </w:tcPr>
          <w:p w:rsidR="00150075" w:rsidRPr="00954A2C" w:rsidRDefault="00150075" w:rsidP="001F46DC">
            <w:pPr>
              <w:jc w:val="center"/>
              <w:rPr>
                <w:rFonts w:cs="Times New Roman"/>
              </w:rPr>
            </w:pPr>
          </w:p>
        </w:tc>
        <w:tc>
          <w:tcPr>
            <w:tcW w:w="610" w:type="dxa"/>
            <w:vAlign w:val="center"/>
            <w:hideMark/>
          </w:tcPr>
          <w:p w:rsidR="00150075" w:rsidRPr="00954A2C" w:rsidRDefault="00150075" w:rsidP="001F46DC">
            <w:pPr>
              <w:jc w:val="center"/>
              <w:rPr>
                <w:rFonts w:cs="Times New Roman"/>
              </w:rPr>
            </w:pPr>
          </w:p>
        </w:tc>
        <w:tc>
          <w:tcPr>
            <w:tcW w:w="525" w:type="dxa"/>
            <w:vAlign w:val="center"/>
            <w:hideMark/>
          </w:tcPr>
          <w:p w:rsidR="00150075" w:rsidRPr="00954A2C" w:rsidRDefault="00150075" w:rsidP="001F46DC">
            <w:pPr>
              <w:jc w:val="center"/>
              <w:rPr>
                <w:rFonts w:cs="Times New Roman"/>
              </w:rPr>
            </w:pPr>
          </w:p>
        </w:tc>
        <w:tc>
          <w:tcPr>
            <w:tcW w:w="793" w:type="dxa"/>
            <w:vAlign w:val="center"/>
            <w:hideMark/>
          </w:tcPr>
          <w:p w:rsidR="00150075" w:rsidRPr="00954A2C" w:rsidRDefault="00150075" w:rsidP="001F46DC">
            <w:pPr>
              <w:jc w:val="center"/>
              <w:rPr>
                <w:rFonts w:cs="Times New Roman"/>
              </w:rPr>
            </w:pPr>
          </w:p>
        </w:tc>
      </w:tr>
      <w:tr w:rsidR="00150075" w:rsidRPr="00930948" w:rsidTr="001F46DC">
        <w:trPr>
          <w:trHeight w:val="669"/>
        </w:trPr>
        <w:tc>
          <w:tcPr>
            <w:tcW w:w="3067" w:type="dxa"/>
          </w:tcPr>
          <w:p w:rsidR="00150075" w:rsidRPr="00556D05" w:rsidRDefault="00150075" w:rsidP="001F46DC">
            <w:pPr>
              <w:rPr>
                <w:rFonts w:cs="Times New Roman"/>
              </w:rPr>
            </w:pPr>
            <w:r w:rsidRPr="00556D05">
              <w:rPr>
                <w:rFonts w:cs="Times New Roman"/>
                <w:bCs/>
              </w:rPr>
              <w:t>Share of Financial Stocks Index (SS)</w:t>
            </w:r>
          </w:p>
        </w:tc>
        <w:tc>
          <w:tcPr>
            <w:tcW w:w="2178" w:type="dxa"/>
          </w:tcPr>
          <w:p w:rsidR="00150075" w:rsidRPr="00556D05" w:rsidRDefault="00150075" w:rsidP="001F46DC">
            <w:pPr>
              <w:rPr>
                <w:rFonts w:cs="Times New Roman"/>
                <w:bCs/>
              </w:rPr>
            </w:pPr>
            <w:r w:rsidRPr="00556D05">
              <w:rPr>
                <w:rFonts w:cs="Times New Roman"/>
                <w:bCs/>
              </w:rPr>
              <w:t>Financial “Power” (assets)</w:t>
            </w:r>
          </w:p>
        </w:tc>
        <w:tc>
          <w:tcPr>
            <w:tcW w:w="524" w:type="dxa"/>
            <w:vAlign w:val="center"/>
            <w:hideMark/>
          </w:tcPr>
          <w:p w:rsidR="00150075" w:rsidRPr="00556D05" w:rsidRDefault="00150075" w:rsidP="001F46DC">
            <w:pPr>
              <w:jc w:val="center"/>
              <w:rPr>
                <w:rFonts w:cs="Times New Roman"/>
              </w:rPr>
            </w:pPr>
          </w:p>
        </w:tc>
        <w:tc>
          <w:tcPr>
            <w:tcW w:w="525" w:type="dxa"/>
            <w:vAlign w:val="center"/>
            <w:hideMark/>
          </w:tcPr>
          <w:p w:rsidR="00150075" w:rsidRPr="00556D05" w:rsidRDefault="00150075" w:rsidP="001F46DC">
            <w:pPr>
              <w:jc w:val="center"/>
              <w:rPr>
                <w:rFonts w:cs="Times New Roman"/>
              </w:rPr>
            </w:pPr>
          </w:p>
        </w:tc>
        <w:tc>
          <w:tcPr>
            <w:tcW w:w="525" w:type="dxa"/>
            <w:vAlign w:val="center"/>
            <w:hideMark/>
          </w:tcPr>
          <w:p w:rsidR="00150075" w:rsidRPr="00556D05" w:rsidRDefault="00150075" w:rsidP="001F46DC">
            <w:pPr>
              <w:jc w:val="center"/>
              <w:rPr>
                <w:rFonts w:cs="Times New Roman"/>
              </w:rPr>
            </w:pPr>
          </w:p>
        </w:tc>
        <w:tc>
          <w:tcPr>
            <w:tcW w:w="525" w:type="dxa"/>
            <w:vAlign w:val="center"/>
            <w:hideMark/>
          </w:tcPr>
          <w:p w:rsidR="00150075" w:rsidRPr="00556D05" w:rsidRDefault="00150075" w:rsidP="001F46DC">
            <w:pPr>
              <w:jc w:val="center"/>
              <w:rPr>
                <w:rFonts w:cs="Times New Roman"/>
              </w:rPr>
            </w:pPr>
          </w:p>
        </w:tc>
        <w:tc>
          <w:tcPr>
            <w:tcW w:w="525" w:type="dxa"/>
            <w:vAlign w:val="center"/>
            <w:hideMark/>
          </w:tcPr>
          <w:p w:rsidR="00150075" w:rsidRPr="00556D05" w:rsidRDefault="00150075" w:rsidP="001F46DC">
            <w:pPr>
              <w:jc w:val="center"/>
              <w:rPr>
                <w:rFonts w:cs="Times New Roman"/>
              </w:rPr>
            </w:pPr>
          </w:p>
        </w:tc>
        <w:tc>
          <w:tcPr>
            <w:tcW w:w="610" w:type="dxa"/>
            <w:vAlign w:val="center"/>
            <w:hideMark/>
          </w:tcPr>
          <w:p w:rsidR="00150075" w:rsidRPr="00556D05" w:rsidRDefault="00150075" w:rsidP="001F46DC">
            <w:pPr>
              <w:jc w:val="center"/>
              <w:rPr>
                <w:rFonts w:cs="Times New Roman"/>
              </w:rPr>
            </w:pPr>
          </w:p>
        </w:tc>
        <w:tc>
          <w:tcPr>
            <w:tcW w:w="525" w:type="dxa"/>
            <w:vAlign w:val="center"/>
            <w:hideMark/>
          </w:tcPr>
          <w:p w:rsidR="00150075" w:rsidRPr="00556D05" w:rsidRDefault="00150075" w:rsidP="001F46DC">
            <w:pPr>
              <w:jc w:val="center"/>
              <w:rPr>
                <w:rFonts w:cs="Times New Roman"/>
              </w:rPr>
            </w:pPr>
          </w:p>
        </w:tc>
        <w:tc>
          <w:tcPr>
            <w:tcW w:w="473" w:type="dxa"/>
            <w:vAlign w:val="center"/>
            <w:hideMark/>
          </w:tcPr>
          <w:p w:rsidR="00150075" w:rsidRPr="00556D05" w:rsidRDefault="00150075" w:rsidP="001F46DC">
            <w:pPr>
              <w:jc w:val="center"/>
              <w:rPr>
                <w:rFonts w:cs="Times New Roman"/>
              </w:rPr>
            </w:pPr>
          </w:p>
        </w:tc>
        <w:tc>
          <w:tcPr>
            <w:tcW w:w="516" w:type="dxa"/>
            <w:vAlign w:val="center"/>
            <w:hideMark/>
          </w:tcPr>
          <w:p w:rsidR="00150075" w:rsidRPr="00556D05" w:rsidRDefault="00150075" w:rsidP="001F46DC">
            <w:pPr>
              <w:jc w:val="center"/>
              <w:rPr>
                <w:rFonts w:cs="Times New Roman"/>
              </w:rPr>
            </w:pPr>
            <w:r w:rsidRPr="00556D05">
              <w:rPr>
                <w:rFonts w:cs="Times New Roman"/>
              </w:rPr>
              <w:t>X</w:t>
            </w:r>
          </w:p>
        </w:tc>
        <w:tc>
          <w:tcPr>
            <w:tcW w:w="525" w:type="dxa"/>
            <w:vAlign w:val="center"/>
            <w:hideMark/>
          </w:tcPr>
          <w:p w:rsidR="00150075" w:rsidRPr="00556D05" w:rsidRDefault="00150075" w:rsidP="001F46DC">
            <w:pPr>
              <w:jc w:val="center"/>
              <w:rPr>
                <w:rFonts w:cs="Times New Roman"/>
              </w:rPr>
            </w:pPr>
            <w:r w:rsidRPr="00556D05">
              <w:rPr>
                <w:rFonts w:cs="Times New Roman"/>
              </w:rPr>
              <w:t>X</w:t>
            </w:r>
          </w:p>
        </w:tc>
        <w:tc>
          <w:tcPr>
            <w:tcW w:w="525" w:type="dxa"/>
            <w:vAlign w:val="center"/>
            <w:hideMark/>
          </w:tcPr>
          <w:p w:rsidR="00150075" w:rsidRPr="00556D05" w:rsidRDefault="00150075" w:rsidP="001F46DC">
            <w:pPr>
              <w:jc w:val="center"/>
              <w:rPr>
                <w:rFonts w:cs="Times New Roman"/>
              </w:rPr>
            </w:pPr>
          </w:p>
        </w:tc>
        <w:tc>
          <w:tcPr>
            <w:tcW w:w="525" w:type="dxa"/>
            <w:vAlign w:val="center"/>
            <w:hideMark/>
          </w:tcPr>
          <w:p w:rsidR="00150075" w:rsidRPr="00556D05" w:rsidRDefault="00150075" w:rsidP="001F46DC">
            <w:pPr>
              <w:jc w:val="center"/>
              <w:rPr>
                <w:rFonts w:cs="Times New Roman"/>
              </w:rPr>
            </w:pPr>
          </w:p>
        </w:tc>
        <w:tc>
          <w:tcPr>
            <w:tcW w:w="525" w:type="dxa"/>
            <w:vAlign w:val="center"/>
            <w:hideMark/>
          </w:tcPr>
          <w:p w:rsidR="00150075" w:rsidRPr="00556D05" w:rsidRDefault="00150075" w:rsidP="001F46DC">
            <w:pPr>
              <w:jc w:val="center"/>
              <w:rPr>
                <w:rFonts w:cs="Times New Roman"/>
              </w:rPr>
            </w:pPr>
            <w:r w:rsidRPr="00556D05">
              <w:rPr>
                <w:rFonts w:cs="Times New Roman"/>
              </w:rPr>
              <w:t>X</w:t>
            </w:r>
          </w:p>
        </w:tc>
        <w:tc>
          <w:tcPr>
            <w:tcW w:w="610" w:type="dxa"/>
            <w:vAlign w:val="center"/>
            <w:hideMark/>
          </w:tcPr>
          <w:p w:rsidR="00150075" w:rsidRPr="00556D05" w:rsidRDefault="00150075" w:rsidP="001F46DC">
            <w:pPr>
              <w:jc w:val="center"/>
              <w:rPr>
                <w:rFonts w:cs="Times New Roman"/>
              </w:rPr>
            </w:pPr>
            <w:r w:rsidRPr="00556D05">
              <w:rPr>
                <w:rFonts w:cs="Times New Roman"/>
              </w:rPr>
              <w:t>X</w:t>
            </w:r>
          </w:p>
        </w:tc>
        <w:tc>
          <w:tcPr>
            <w:tcW w:w="525" w:type="dxa"/>
            <w:vAlign w:val="center"/>
            <w:hideMark/>
          </w:tcPr>
          <w:p w:rsidR="00150075" w:rsidRPr="00556D05" w:rsidRDefault="00150075" w:rsidP="001F46DC">
            <w:pPr>
              <w:jc w:val="center"/>
              <w:rPr>
                <w:rFonts w:cs="Times New Roman"/>
              </w:rPr>
            </w:pPr>
          </w:p>
        </w:tc>
        <w:tc>
          <w:tcPr>
            <w:tcW w:w="793" w:type="dxa"/>
            <w:vAlign w:val="center"/>
            <w:hideMark/>
          </w:tcPr>
          <w:p w:rsidR="00150075" w:rsidRPr="00556D05" w:rsidRDefault="00150075" w:rsidP="001F46DC">
            <w:pPr>
              <w:jc w:val="center"/>
              <w:rPr>
                <w:rFonts w:cs="Times New Roman"/>
              </w:rPr>
            </w:pPr>
          </w:p>
        </w:tc>
      </w:tr>
      <w:tr w:rsidR="00150075" w:rsidRPr="00930948" w:rsidTr="001F46DC">
        <w:trPr>
          <w:trHeight w:val="669"/>
        </w:trPr>
        <w:tc>
          <w:tcPr>
            <w:tcW w:w="3067" w:type="dxa"/>
          </w:tcPr>
          <w:p w:rsidR="00150075" w:rsidRPr="00556D05" w:rsidRDefault="00150075" w:rsidP="001F46DC">
            <w:pPr>
              <w:rPr>
                <w:rFonts w:cs="Times New Roman"/>
              </w:rPr>
            </w:pPr>
            <w:r w:rsidRPr="00556D05">
              <w:rPr>
                <w:rFonts w:cs="Times New Roman"/>
                <w:bCs/>
              </w:rPr>
              <w:t>Share of Financial Transactions Index (ST)</w:t>
            </w:r>
          </w:p>
        </w:tc>
        <w:tc>
          <w:tcPr>
            <w:tcW w:w="2178" w:type="dxa"/>
          </w:tcPr>
          <w:p w:rsidR="00150075" w:rsidRPr="00556D05" w:rsidRDefault="00150075" w:rsidP="001F46DC">
            <w:pPr>
              <w:rPr>
                <w:rFonts w:cs="Times New Roman"/>
                <w:bCs/>
              </w:rPr>
            </w:pPr>
            <w:r w:rsidRPr="00556D05">
              <w:rPr>
                <w:rFonts w:cs="Times New Roman"/>
                <w:bCs/>
              </w:rPr>
              <w:t>Financial “Power” (markets)</w:t>
            </w:r>
          </w:p>
        </w:tc>
        <w:tc>
          <w:tcPr>
            <w:tcW w:w="524" w:type="dxa"/>
            <w:vAlign w:val="center"/>
            <w:hideMark/>
          </w:tcPr>
          <w:p w:rsidR="00150075" w:rsidRPr="00556D05" w:rsidRDefault="00150075" w:rsidP="001F46DC">
            <w:pPr>
              <w:jc w:val="center"/>
              <w:rPr>
                <w:rFonts w:cs="Times New Roman"/>
              </w:rPr>
            </w:pPr>
          </w:p>
        </w:tc>
        <w:tc>
          <w:tcPr>
            <w:tcW w:w="525" w:type="dxa"/>
            <w:vAlign w:val="center"/>
            <w:hideMark/>
          </w:tcPr>
          <w:p w:rsidR="00150075" w:rsidRPr="00556D05" w:rsidRDefault="00150075" w:rsidP="001F46DC">
            <w:pPr>
              <w:jc w:val="center"/>
              <w:rPr>
                <w:rFonts w:cs="Times New Roman"/>
              </w:rPr>
            </w:pPr>
          </w:p>
        </w:tc>
        <w:tc>
          <w:tcPr>
            <w:tcW w:w="525" w:type="dxa"/>
            <w:vAlign w:val="center"/>
            <w:hideMark/>
          </w:tcPr>
          <w:p w:rsidR="00150075" w:rsidRPr="00556D05" w:rsidRDefault="00150075" w:rsidP="001F46DC">
            <w:pPr>
              <w:jc w:val="center"/>
              <w:rPr>
                <w:rFonts w:cs="Times New Roman"/>
              </w:rPr>
            </w:pPr>
          </w:p>
        </w:tc>
        <w:tc>
          <w:tcPr>
            <w:tcW w:w="525" w:type="dxa"/>
            <w:vAlign w:val="center"/>
            <w:hideMark/>
          </w:tcPr>
          <w:p w:rsidR="00150075" w:rsidRPr="00556D05" w:rsidRDefault="00150075" w:rsidP="001F46DC">
            <w:pPr>
              <w:jc w:val="center"/>
              <w:rPr>
                <w:rFonts w:cs="Times New Roman"/>
              </w:rPr>
            </w:pPr>
          </w:p>
        </w:tc>
        <w:tc>
          <w:tcPr>
            <w:tcW w:w="525" w:type="dxa"/>
            <w:vAlign w:val="center"/>
            <w:hideMark/>
          </w:tcPr>
          <w:p w:rsidR="00150075" w:rsidRPr="00556D05" w:rsidRDefault="00150075" w:rsidP="001F46DC">
            <w:pPr>
              <w:jc w:val="center"/>
              <w:rPr>
                <w:rFonts w:cs="Times New Roman"/>
              </w:rPr>
            </w:pPr>
          </w:p>
        </w:tc>
        <w:tc>
          <w:tcPr>
            <w:tcW w:w="610" w:type="dxa"/>
            <w:vAlign w:val="center"/>
            <w:hideMark/>
          </w:tcPr>
          <w:p w:rsidR="00150075" w:rsidRPr="00556D05" w:rsidRDefault="00150075" w:rsidP="001F46DC">
            <w:pPr>
              <w:jc w:val="center"/>
              <w:rPr>
                <w:rFonts w:cs="Times New Roman"/>
              </w:rPr>
            </w:pPr>
          </w:p>
        </w:tc>
        <w:tc>
          <w:tcPr>
            <w:tcW w:w="525" w:type="dxa"/>
            <w:vAlign w:val="center"/>
            <w:hideMark/>
          </w:tcPr>
          <w:p w:rsidR="00150075" w:rsidRPr="00556D05" w:rsidRDefault="00150075" w:rsidP="001F46DC">
            <w:pPr>
              <w:jc w:val="center"/>
              <w:rPr>
                <w:rFonts w:cs="Times New Roman"/>
              </w:rPr>
            </w:pPr>
          </w:p>
        </w:tc>
        <w:tc>
          <w:tcPr>
            <w:tcW w:w="473" w:type="dxa"/>
            <w:vAlign w:val="center"/>
            <w:hideMark/>
          </w:tcPr>
          <w:p w:rsidR="00150075" w:rsidRPr="00556D05" w:rsidRDefault="00150075" w:rsidP="001F46DC">
            <w:pPr>
              <w:jc w:val="center"/>
              <w:rPr>
                <w:rFonts w:cs="Times New Roman"/>
              </w:rPr>
            </w:pPr>
          </w:p>
        </w:tc>
        <w:tc>
          <w:tcPr>
            <w:tcW w:w="516" w:type="dxa"/>
            <w:vAlign w:val="center"/>
            <w:hideMark/>
          </w:tcPr>
          <w:p w:rsidR="00150075" w:rsidRPr="00556D05" w:rsidRDefault="00150075" w:rsidP="001F46DC">
            <w:pPr>
              <w:jc w:val="center"/>
              <w:rPr>
                <w:rFonts w:cs="Times New Roman"/>
              </w:rPr>
            </w:pPr>
          </w:p>
        </w:tc>
        <w:tc>
          <w:tcPr>
            <w:tcW w:w="525" w:type="dxa"/>
            <w:vAlign w:val="center"/>
            <w:hideMark/>
          </w:tcPr>
          <w:p w:rsidR="00150075" w:rsidRPr="00556D05" w:rsidRDefault="00150075" w:rsidP="001F46DC">
            <w:pPr>
              <w:jc w:val="center"/>
              <w:rPr>
                <w:rFonts w:cs="Times New Roman"/>
              </w:rPr>
            </w:pPr>
          </w:p>
        </w:tc>
        <w:tc>
          <w:tcPr>
            <w:tcW w:w="525" w:type="dxa"/>
            <w:vAlign w:val="center"/>
            <w:hideMark/>
          </w:tcPr>
          <w:p w:rsidR="00150075" w:rsidRPr="00556D05" w:rsidRDefault="00150075" w:rsidP="001F46DC">
            <w:pPr>
              <w:jc w:val="center"/>
              <w:rPr>
                <w:rFonts w:cs="Times New Roman"/>
              </w:rPr>
            </w:pPr>
          </w:p>
        </w:tc>
        <w:tc>
          <w:tcPr>
            <w:tcW w:w="525" w:type="dxa"/>
            <w:vAlign w:val="center"/>
            <w:hideMark/>
          </w:tcPr>
          <w:p w:rsidR="00150075" w:rsidRPr="00556D05" w:rsidRDefault="00150075" w:rsidP="001F46DC">
            <w:pPr>
              <w:jc w:val="center"/>
              <w:rPr>
                <w:rFonts w:cs="Times New Roman"/>
              </w:rPr>
            </w:pPr>
            <w:r w:rsidRPr="00556D05">
              <w:rPr>
                <w:rFonts w:cs="Times New Roman"/>
              </w:rPr>
              <w:t>X</w:t>
            </w:r>
          </w:p>
        </w:tc>
        <w:tc>
          <w:tcPr>
            <w:tcW w:w="525" w:type="dxa"/>
            <w:vAlign w:val="center"/>
            <w:hideMark/>
          </w:tcPr>
          <w:p w:rsidR="00150075" w:rsidRPr="00556D05" w:rsidRDefault="00150075" w:rsidP="001F46DC">
            <w:pPr>
              <w:jc w:val="center"/>
              <w:rPr>
                <w:rFonts w:cs="Times New Roman"/>
              </w:rPr>
            </w:pPr>
          </w:p>
        </w:tc>
        <w:tc>
          <w:tcPr>
            <w:tcW w:w="610" w:type="dxa"/>
            <w:vAlign w:val="center"/>
            <w:hideMark/>
          </w:tcPr>
          <w:p w:rsidR="00150075" w:rsidRPr="00556D05" w:rsidRDefault="00150075" w:rsidP="001F46DC">
            <w:pPr>
              <w:jc w:val="center"/>
              <w:rPr>
                <w:rFonts w:cs="Times New Roman"/>
              </w:rPr>
            </w:pPr>
          </w:p>
        </w:tc>
        <w:tc>
          <w:tcPr>
            <w:tcW w:w="525" w:type="dxa"/>
            <w:vAlign w:val="center"/>
            <w:hideMark/>
          </w:tcPr>
          <w:p w:rsidR="00150075" w:rsidRPr="00556D05" w:rsidRDefault="00150075" w:rsidP="001F46DC">
            <w:pPr>
              <w:jc w:val="center"/>
              <w:rPr>
                <w:rFonts w:cs="Times New Roman"/>
              </w:rPr>
            </w:pPr>
            <w:r w:rsidRPr="00556D05">
              <w:rPr>
                <w:rFonts w:cs="Times New Roman"/>
              </w:rPr>
              <w:t>X</w:t>
            </w:r>
          </w:p>
        </w:tc>
        <w:tc>
          <w:tcPr>
            <w:tcW w:w="793" w:type="dxa"/>
            <w:vAlign w:val="center"/>
            <w:hideMark/>
          </w:tcPr>
          <w:p w:rsidR="00150075" w:rsidRPr="00556D05" w:rsidRDefault="00150075" w:rsidP="001F46DC">
            <w:pPr>
              <w:jc w:val="center"/>
              <w:rPr>
                <w:rFonts w:cs="Times New Roman"/>
              </w:rPr>
            </w:pPr>
            <w:r w:rsidRPr="00556D05">
              <w:rPr>
                <w:rFonts w:cs="Times New Roman"/>
              </w:rPr>
              <w:t>X</w:t>
            </w:r>
          </w:p>
        </w:tc>
      </w:tr>
    </w:tbl>
    <w:p w:rsidR="00150075" w:rsidRDefault="00150075" w:rsidP="00150075">
      <w:pPr>
        <w:rPr>
          <w:b/>
        </w:rPr>
        <w:sectPr w:rsidR="00150075" w:rsidSect="00C621B0">
          <w:endnotePr>
            <w:numFmt w:val="decimal"/>
          </w:endnotePr>
          <w:pgSz w:w="15840" w:h="12240" w:orient="landscape"/>
          <w:pgMar w:top="1440" w:right="1440" w:bottom="1440" w:left="1440" w:header="720" w:footer="720" w:gutter="0"/>
          <w:cols w:space="720"/>
          <w:docGrid w:linePitch="360"/>
        </w:sectPr>
      </w:pPr>
    </w:p>
    <w:p w:rsidR="00150075" w:rsidRDefault="00150075" w:rsidP="00150075">
      <w:pPr>
        <w:rPr>
          <w:b/>
        </w:rPr>
      </w:pPr>
      <w:r>
        <w:rPr>
          <w:b/>
        </w:rPr>
        <w:lastRenderedPageBreak/>
        <w:t>Figure 1  Composite Index of National Capabilities (CINC)</w:t>
      </w:r>
    </w:p>
    <w:p w:rsidR="00150075" w:rsidRPr="0049312D" w:rsidRDefault="00150075" w:rsidP="00150075"/>
    <w:p w:rsidR="00150075" w:rsidRDefault="00150075" w:rsidP="00150075"/>
    <w:p w:rsidR="00150075" w:rsidRDefault="00150075" w:rsidP="00150075">
      <w:r>
        <w:rPr>
          <w:noProof/>
        </w:rPr>
        <w:drawing>
          <wp:inline distT="0" distB="0" distL="0" distR="0" wp14:anchorId="1B5D129F" wp14:editId="5CA02791">
            <wp:extent cx="5143500" cy="37660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4004" cy="3766407"/>
                    </a:xfrm>
                    <a:prstGeom prst="rect">
                      <a:avLst/>
                    </a:prstGeom>
                    <a:noFill/>
                    <a:ln>
                      <a:noFill/>
                    </a:ln>
                  </pic:spPr>
                </pic:pic>
              </a:graphicData>
            </a:graphic>
          </wp:inline>
        </w:drawing>
      </w:r>
    </w:p>
    <w:p w:rsidR="00150075" w:rsidRDefault="00150075" w:rsidP="00150075">
      <w:r>
        <w:br w:type="page"/>
      </w:r>
    </w:p>
    <w:p w:rsidR="00150075" w:rsidRDefault="00150075" w:rsidP="00150075">
      <w:pPr>
        <w:rPr>
          <w:b/>
        </w:rPr>
      </w:pPr>
      <w:r>
        <w:rPr>
          <w:b/>
        </w:rPr>
        <w:lastRenderedPageBreak/>
        <w:t>Figure 2  Contemporary Capabilities Index (CCI)</w:t>
      </w:r>
    </w:p>
    <w:p w:rsidR="00150075" w:rsidRDefault="00150075" w:rsidP="00150075">
      <w:pPr>
        <w:rPr>
          <w:b/>
        </w:rPr>
      </w:pPr>
    </w:p>
    <w:p w:rsidR="00150075" w:rsidRDefault="00150075" w:rsidP="00150075">
      <w:r>
        <w:rPr>
          <w:noProof/>
        </w:rPr>
        <w:drawing>
          <wp:inline distT="0" distB="0" distL="0" distR="0" wp14:anchorId="071ABC4C" wp14:editId="27B66230">
            <wp:extent cx="4810125" cy="35219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17752" cy="3527528"/>
                    </a:xfrm>
                    <a:prstGeom prst="rect">
                      <a:avLst/>
                    </a:prstGeom>
                    <a:noFill/>
                    <a:ln>
                      <a:noFill/>
                    </a:ln>
                  </pic:spPr>
                </pic:pic>
              </a:graphicData>
            </a:graphic>
          </wp:inline>
        </w:drawing>
      </w:r>
    </w:p>
    <w:p w:rsidR="00150075" w:rsidRDefault="00150075" w:rsidP="00150075">
      <w:r>
        <w:br w:type="page"/>
      </w:r>
    </w:p>
    <w:p w:rsidR="00150075" w:rsidRDefault="00150075" w:rsidP="00150075">
      <w:pPr>
        <w:rPr>
          <w:b/>
        </w:rPr>
      </w:pPr>
      <w:r>
        <w:rPr>
          <w:b/>
        </w:rPr>
        <w:lastRenderedPageBreak/>
        <w:t>Figure 3  Correlates of Monetary Capability Index (CMCI)</w:t>
      </w:r>
    </w:p>
    <w:p w:rsidR="00150075" w:rsidRDefault="00150075" w:rsidP="00150075"/>
    <w:p w:rsidR="00150075" w:rsidRDefault="00150075" w:rsidP="00150075">
      <w:r>
        <w:rPr>
          <w:noProof/>
        </w:rPr>
        <w:drawing>
          <wp:inline distT="0" distB="0" distL="0" distR="0" wp14:anchorId="1AE19638" wp14:editId="5B4CA075">
            <wp:extent cx="6127171" cy="4486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32887" cy="4490460"/>
                    </a:xfrm>
                    <a:prstGeom prst="rect">
                      <a:avLst/>
                    </a:prstGeom>
                    <a:noFill/>
                    <a:ln>
                      <a:noFill/>
                    </a:ln>
                  </pic:spPr>
                </pic:pic>
              </a:graphicData>
            </a:graphic>
          </wp:inline>
        </w:drawing>
      </w:r>
    </w:p>
    <w:p w:rsidR="00150075" w:rsidRDefault="00150075" w:rsidP="00150075">
      <w:r>
        <w:br w:type="page"/>
      </w:r>
    </w:p>
    <w:p w:rsidR="00150075" w:rsidRDefault="00150075" w:rsidP="00150075">
      <w:pPr>
        <w:rPr>
          <w:b/>
        </w:rPr>
      </w:pPr>
      <w:r>
        <w:rPr>
          <w:b/>
        </w:rPr>
        <w:lastRenderedPageBreak/>
        <w:t>Figure 4  Share of Stocks Index (SS)</w:t>
      </w:r>
    </w:p>
    <w:p w:rsidR="00150075" w:rsidRDefault="00150075" w:rsidP="00150075"/>
    <w:p w:rsidR="00150075" w:rsidRDefault="00150075" w:rsidP="00150075">
      <w:r>
        <w:rPr>
          <w:noProof/>
        </w:rPr>
        <w:drawing>
          <wp:inline distT="0" distB="0" distL="0" distR="0" wp14:anchorId="25B49899" wp14:editId="1C4EF53C">
            <wp:extent cx="5580799" cy="40862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81346" cy="4086626"/>
                    </a:xfrm>
                    <a:prstGeom prst="rect">
                      <a:avLst/>
                    </a:prstGeom>
                    <a:noFill/>
                    <a:ln>
                      <a:noFill/>
                    </a:ln>
                  </pic:spPr>
                </pic:pic>
              </a:graphicData>
            </a:graphic>
          </wp:inline>
        </w:drawing>
      </w:r>
    </w:p>
    <w:p w:rsidR="00150075" w:rsidRDefault="00150075" w:rsidP="00150075">
      <w:r>
        <w:br w:type="page"/>
      </w:r>
    </w:p>
    <w:p w:rsidR="00150075" w:rsidRDefault="00150075" w:rsidP="00150075">
      <w:pPr>
        <w:rPr>
          <w:b/>
        </w:rPr>
      </w:pPr>
      <w:r>
        <w:rPr>
          <w:b/>
        </w:rPr>
        <w:lastRenderedPageBreak/>
        <w:t>Figure 5  Share of Transactions Index (ST)</w:t>
      </w:r>
    </w:p>
    <w:p w:rsidR="00150075" w:rsidRDefault="00150075" w:rsidP="00150075"/>
    <w:p w:rsidR="00150075" w:rsidRDefault="00150075" w:rsidP="00150075">
      <w:r>
        <w:rPr>
          <w:noProof/>
        </w:rPr>
        <w:drawing>
          <wp:inline distT="0" distB="0" distL="0" distR="0" wp14:anchorId="1C22B57F" wp14:editId="7A99938A">
            <wp:extent cx="5580798" cy="40862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91585" cy="4094123"/>
                    </a:xfrm>
                    <a:prstGeom prst="rect">
                      <a:avLst/>
                    </a:prstGeom>
                    <a:noFill/>
                    <a:ln>
                      <a:noFill/>
                    </a:ln>
                  </pic:spPr>
                </pic:pic>
              </a:graphicData>
            </a:graphic>
          </wp:inline>
        </w:drawing>
      </w:r>
    </w:p>
    <w:p w:rsidR="00150075" w:rsidRDefault="00150075" w:rsidP="00150075">
      <w:r>
        <w:br w:type="page"/>
      </w:r>
    </w:p>
    <w:p w:rsidR="00150075" w:rsidRDefault="00150075" w:rsidP="00150075"/>
    <w:p w:rsidR="00150075" w:rsidRDefault="00150075" w:rsidP="00150075">
      <w:pPr>
        <w:rPr>
          <w:b/>
        </w:rPr>
      </w:pPr>
      <w:r>
        <w:rPr>
          <w:b/>
        </w:rPr>
        <w:t>Table 2  Fifteen Top</w:t>
      </w:r>
      <w:r>
        <w:rPr>
          <w:b/>
          <w:color w:val="FF0000"/>
        </w:rPr>
        <w:t>-</w:t>
      </w:r>
      <w:r w:rsidRPr="001C0A86">
        <w:rPr>
          <w:b/>
        </w:rPr>
        <w:t>Ranked Countries In Descending Order</w:t>
      </w:r>
      <w:r>
        <w:rPr>
          <w:b/>
        </w:rPr>
        <w:t>, Five Indices</w:t>
      </w:r>
    </w:p>
    <w:p w:rsidR="00150075" w:rsidRDefault="00150075" w:rsidP="00150075"/>
    <w:tbl>
      <w:tblPr>
        <w:tblStyle w:val="TableGrid"/>
        <w:tblW w:w="0" w:type="auto"/>
        <w:tblLook w:val="04A0" w:firstRow="1" w:lastRow="0" w:firstColumn="1" w:lastColumn="0" w:noHBand="0" w:noVBand="1"/>
      </w:tblPr>
      <w:tblGrid>
        <w:gridCol w:w="1915"/>
        <w:gridCol w:w="1915"/>
        <w:gridCol w:w="1915"/>
        <w:gridCol w:w="1915"/>
        <w:gridCol w:w="1916"/>
      </w:tblGrid>
      <w:tr w:rsidR="00150075" w:rsidTr="001F46DC">
        <w:tc>
          <w:tcPr>
            <w:tcW w:w="1915" w:type="dxa"/>
          </w:tcPr>
          <w:p w:rsidR="00150075" w:rsidRDefault="00150075" w:rsidP="001F46DC">
            <w:pPr>
              <w:rPr>
                <w:b/>
              </w:rPr>
            </w:pPr>
            <w:r>
              <w:rPr>
                <w:b/>
              </w:rPr>
              <w:t>CINC</w:t>
            </w:r>
          </w:p>
          <w:p w:rsidR="00150075" w:rsidRPr="00026EA6" w:rsidRDefault="00150075" w:rsidP="001F46DC">
            <w:r w:rsidRPr="00026EA6">
              <w:t>2007</w:t>
            </w:r>
          </w:p>
        </w:tc>
        <w:tc>
          <w:tcPr>
            <w:tcW w:w="1915" w:type="dxa"/>
          </w:tcPr>
          <w:p w:rsidR="00150075" w:rsidRDefault="00150075" w:rsidP="001F46DC">
            <w:pPr>
              <w:rPr>
                <w:b/>
              </w:rPr>
            </w:pPr>
            <w:r>
              <w:rPr>
                <w:b/>
              </w:rPr>
              <w:t>CCI</w:t>
            </w:r>
          </w:p>
          <w:p w:rsidR="00150075" w:rsidRPr="00026EA6" w:rsidRDefault="00150075" w:rsidP="001F46DC">
            <w:r w:rsidRPr="00026EA6">
              <w:t>2007</w:t>
            </w:r>
          </w:p>
        </w:tc>
        <w:tc>
          <w:tcPr>
            <w:tcW w:w="1915" w:type="dxa"/>
          </w:tcPr>
          <w:p w:rsidR="00150075" w:rsidRPr="00026EA6" w:rsidRDefault="00150075" w:rsidP="001F46DC">
            <w:r>
              <w:rPr>
                <w:b/>
              </w:rPr>
              <w:t>CMCI</w:t>
            </w:r>
          </w:p>
          <w:p w:rsidR="00150075" w:rsidRPr="00026EA6" w:rsidRDefault="00150075" w:rsidP="001F46DC">
            <w:pPr>
              <w:rPr>
                <w:b/>
              </w:rPr>
            </w:pPr>
            <w:r w:rsidRPr="00026EA6">
              <w:t>2010</w:t>
            </w:r>
          </w:p>
        </w:tc>
        <w:tc>
          <w:tcPr>
            <w:tcW w:w="1915" w:type="dxa"/>
          </w:tcPr>
          <w:p w:rsidR="00150075" w:rsidRDefault="00150075" w:rsidP="001F46DC">
            <w:pPr>
              <w:rPr>
                <w:b/>
              </w:rPr>
            </w:pPr>
            <w:r>
              <w:rPr>
                <w:b/>
              </w:rPr>
              <w:t>SS</w:t>
            </w:r>
          </w:p>
          <w:p w:rsidR="00150075" w:rsidRPr="00026EA6" w:rsidRDefault="00150075" w:rsidP="001F46DC">
            <w:r w:rsidRPr="00026EA6">
              <w:t>2010</w:t>
            </w:r>
          </w:p>
        </w:tc>
        <w:tc>
          <w:tcPr>
            <w:tcW w:w="1916" w:type="dxa"/>
          </w:tcPr>
          <w:p w:rsidR="00150075" w:rsidRDefault="00150075" w:rsidP="001F46DC">
            <w:pPr>
              <w:rPr>
                <w:b/>
              </w:rPr>
            </w:pPr>
            <w:r>
              <w:rPr>
                <w:b/>
              </w:rPr>
              <w:t>ST</w:t>
            </w:r>
          </w:p>
          <w:p w:rsidR="00150075" w:rsidRPr="00026EA6" w:rsidRDefault="00150075" w:rsidP="001F46DC">
            <w:r w:rsidRPr="00026EA6">
              <w:t>2010</w:t>
            </w:r>
          </w:p>
        </w:tc>
      </w:tr>
      <w:tr w:rsidR="00150075" w:rsidTr="001F46DC">
        <w:tc>
          <w:tcPr>
            <w:tcW w:w="1915" w:type="dxa"/>
          </w:tcPr>
          <w:p w:rsidR="00150075" w:rsidRPr="00F07E48" w:rsidRDefault="00150075" w:rsidP="001F46DC">
            <w:r w:rsidRPr="00F07E48">
              <w:t>China</w:t>
            </w:r>
          </w:p>
        </w:tc>
        <w:tc>
          <w:tcPr>
            <w:tcW w:w="1915" w:type="dxa"/>
          </w:tcPr>
          <w:p w:rsidR="00150075" w:rsidRPr="00F07E48" w:rsidRDefault="00150075" w:rsidP="001F46DC">
            <w:r w:rsidRPr="00F07E48">
              <w:t>United States</w:t>
            </w:r>
          </w:p>
        </w:tc>
        <w:tc>
          <w:tcPr>
            <w:tcW w:w="1915" w:type="dxa"/>
          </w:tcPr>
          <w:p w:rsidR="00150075" w:rsidRPr="00F07E48" w:rsidRDefault="00150075" w:rsidP="001F46DC">
            <w:r w:rsidRPr="00F07E48">
              <w:t>China</w:t>
            </w:r>
          </w:p>
        </w:tc>
        <w:tc>
          <w:tcPr>
            <w:tcW w:w="1915" w:type="dxa"/>
          </w:tcPr>
          <w:p w:rsidR="00150075" w:rsidRPr="00F07E48" w:rsidRDefault="00150075" w:rsidP="001F46DC">
            <w:r w:rsidRPr="00F07E48">
              <w:t>Japan</w:t>
            </w:r>
          </w:p>
        </w:tc>
        <w:tc>
          <w:tcPr>
            <w:tcW w:w="1916" w:type="dxa"/>
          </w:tcPr>
          <w:p w:rsidR="00150075" w:rsidRPr="00F07E48" w:rsidRDefault="00150075" w:rsidP="001F46DC">
            <w:r w:rsidRPr="00F07E48">
              <w:t>United States</w:t>
            </w:r>
          </w:p>
        </w:tc>
      </w:tr>
      <w:tr w:rsidR="00150075" w:rsidTr="001F46DC">
        <w:tc>
          <w:tcPr>
            <w:tcW w:w="1915" w:type="dxa"/>
          </w:tcPr>
          <w:p w:rsidR="00150075" w:rsidRPr="00F07E48" w:rsidRDefault="00150075" w:rsidP="001F46DC">
            <w:r w:rsidRPr="00F07E48">
              <w:t>United States</w:t>
            </w:r>
          </w:p>
        </w:tc>
        <w:tc>
          <w:tcPr>
            <w:tcW w:w="1915" w:type="dxa"/>
          </w:tcPr>
          <w:p w:rsidR="00150075" w:rsidRPr="00F07E48" w:rsidRDefault="00150075" w:rsidP="001F46DC">
            <w:r w:rsidRPr="00F07E48">
              <w:t>China</w:t>
            </w:r>
          </w:p>
        </w:tc>
        <w:tc>
          <w:tcPr>
            <w:tcW w:w="1915" w:type="dxa"/>
          </w:tcPr>
          <w:p w:rsidR="00150075" w:rsidRPr="00F07E48" w:rsidRDefault="00150075" w:rsidP="001F46DC">
            <w:r w:rsidRPr="00F07E48">
              <w:t>United States</w:t>
            </w:r>
          </w:p>
        </w:tc>
        <w:tc>
          <w:tcPr>
            <w:tcW w:w="1915" w:type="dxa"/>
          </w:tcPr>
          <w:p w:rsidR="00150075" w:rsidRPr="00F07E48" w:rsidRDefault="00150075" w:rsidP="001F46DC">
            <w:r w:rsidRPr="00F07E48">
              <w:t>United States</w:t>
            </w:r>
          </w:p>
        </w:tc>
        <w:tc>
          <w:tcPr>
            <w:tcW w:w="1916" w:type="dxa"/>
          </w:tcPr>
          <w:p w:rsidR="00150075" w:rsidRPr="00F07E48" w:rsidRDefault="00150075" w:rsidP="001F46DC">
            <w:r w:rsidRPr="00F07E48">
              <w:t>Germany</w:t>
            </w:r>
          </w:p>
        </w:tc>
      </w:tr>
      <w:tr w:rsidR="00150075" w:rsidTr="001F46DC">
        <w:tc>
          <w:tcPr>
            <w:tcW w:w="1915" w:type="dxa"/>
          </w:tcPr>
          <w:p w:rsidR="00150075" w:rsidRPr="00F07E48" w:rsidRDefault="00150075" w:rsidP="001F46DC">
            <w:r w:rsidRPr="00F07E48">
              <w:t xml:space="preserve">India </w:t>
            </w:r>
          </w:p>
        </w:tc>
        <w:tc>
          <w:tcPr>
            <w:tcW w:w="1915" w:type="dxa"/>
          </w:tcPr>
          <w:p w:rsidR="00150075" w:rsidRPr="00F07E48" w:rsidRDefault="00150075" w:rsidP="001F46DC">
            <w:r w:rsidRPr="00F07E48">
              <w:t>India</w:t>
            </w:r>
          </w:p>
        </w:tc>
        <w:tc>
          <w:tcPr>
            <w:tcW w:w="1915" w:type="dxa"/>
          </w:tcPr>
          <w:p w:rsidR="00150075" w:rsidRPr="00F07E48" w:rsidRDefault="00150075" w:rsidP="001F46DC">
            <w:r w:rsidRPr="00F07E48">
              <w:t>Japan</w:t>
            </w:r>
          </w:p>
        </w:tc>
        <w:tc>
          <w:tcPr>
            <w:tcW w:w="1915" w:type="dxa"/>
          </w:tcPr>
          <w:p w:rsidR="00150075" w:rsidRPr="00F07E48" w:rsidRDefault="00150075" w:rsidP="001F46DC">
            <w:r w:rsidRPr="00F07E48">
              <w:t>China</w:t>
            </w:r>
          </w:p>
        </w:tc>
        <w:tc>
          <w:tcPr>
            <w:tcW w:w="1916" w:type="dxa"/>
          </w:tcPr>
          <w:p w:rsidR="00150075" w:rsidRPr="00F07E48" w:rsidRDefault="00150075" w:rsidP="001F46DC">
            <w:r w:rsidRPr="00F07E48">
              <w:t>UK</w:t>
            </w:r>
          </w:p>
        </w:tc>
      </w:tr>
      <w:tr w:rsidR="00150075" w:rsidTr="001F46DC">
        <w:tc>
          <w:tcPr>
            <w:tcW w:w="1915" w:type="dxa"/>
          </w:tcPr>
          <w:p w:rsidR="00150075" w:rsidRPr="00F07E48" w:rsidRDefault="00150075" w:rsidP="001F46DC">
            <w:r w:rsidRPr="00F07E48">
              <w:t>Japan</w:t>
            </w:r>
          </w:p>
        </w:tc>
        <w:tc>
          <w:tcPr>
            <w:tcW w:w="1915" w:type="dxa"/>
          </w:tcPr>
          <w:p w:rsidR="00150075" w:rsidRPr="00F07E48" w:rsidRDefault="00150075" w:rsidP="001F46DC">
            <w:r w:rsidRPr="00F07E48">
              <w:t>Japan</w:t>
            </w:r>
          </w:p>
        </w:tc>
        <w:tc>
          <w:tcPr>
            <w:tcW w:w="1915" w:type="dxa"/>
          </w:tcPr>
          <w:p w:rsidR="00150075" w:rsidRPr="00F07E48" w:rsidRDefault="00150075" w:rsidP="001F46DC">
            <w:r w:rsidRPr="00F07E48">
              <w:t>Germany</w:t>
            </w:r>
          </w:p>
        </w:tc>
        <w:tc>
          <w:tcPr>
            <w:tcW w:w="1915" w:type="dxa"/>
          </w:tcPr>
          <w:p w:rsidR="00150075" w:rsidRPr="00F07E48" w:rsidRDefault="00150075" w:rsidP="001F46DC">
            <w:r w:rsidRPr="00F07E48">
              <w:t>Germany</w:t>
            </w:r>
          </w:p>
        </w:tc>
        <w:tc>
          <w:tcPr>
            <w:tcW w:w="1916" w:type="dxa"/>
          </w:tcPr>
          <w:p w:rsidR="00150075" w:rsidRPr="00F07E48" w:rsidRDefault="00150075" w:rsidP="001F46DC">
            <w:r w:rsidRPr="00F07E48">
              <w:t>Japan</w:t>
            </w:r>
          </w:p>
        </w:tc>
      </w:tr>
      <w:tr w:rsidR="00150075" w:rsidTr="001F46DC">
        <w:tc>
          <w:tcPr>
            <w:tcW w:w="1915" w:type="dxa"/>
          </w:tcPr>
          <w:p w:rsidR="00150075" w:rsidRPr="00F07E48" w:rsidRDefault="00150075" w:rsidP="001F46DC">
            <w:r w:rsidRPr="00F07E48">
              <w:t>Russia</w:t>
            </w:r>
          </w:p>
        </w:tc>
        <w:tc>
          <w:tcPr>
            <w:tcW w:w="1915" w:type="dxa"/>
          </w:tcPr>
          <w:p w:rsidR="00150075" w:rsidRPr="00F07E48" w:rsidRDefault="00150075" w:rsidP="001F46DC">
            <w:r w:rsidRPr="00F07E48">
              <w:t>Russia</w:t>
            </w:r>
          </w:p>
        </w:tc>
        <w:tc>
          <w:tcPr>
            <w:tcW w:w="1915" w:type="dxa"/>
          </w:tcPr>
          <w:p w:rsidR="00150075" w:rsidRPr="00F07E48" w:rsidRDefault="00150075" w:rsidP="001F46DC">
            <w:r w:rsidRPr="00F07E48">
              <w:t>Russia</w:t>
            </w:r>
          </w:p>
        </w:tc>
        <w:tc>
          <w:tcPr>
            <w:tcW w:w="1915" w:type="dxa"/>
          </w:tcPr>
          <w:p w:rsidR="00150075" w:rsidRPr="00F07E48" w:rsidRDefault="00150075" w:rsidP="001F46DC">
            <w:r w:rsidRPr="00F07E48">
              <w:t>France</w:t>
            </w:r>
          </w:p>
        </w:tc>
        <w:tc>
          <w:tcPr>
            <w:tcW w:w="1916" w:type="dxa"/>
          </w:tcPr>
          <w:p w:rsidR="00150075" w:rsidRPr="00F07E48" w:rsidRDefault="00150075" w:rsidP="001F46DC">
            <w:r w:rsidRPr="00F07E48">
              <w:t>China</w:t>
            </w:r>
          </w:p>
        </w:tc>
      </w:tr>
      <w:tr w:rsidR="00150075" w:rsidTr="001F46DC">
        <w:tc>
          <w:tcPr>
            <w:tcW w:w="1915" w:type="dxa"/>
          </w:tcPr>
          <w:p w:rsidR="00150075" w:rsidRPr="00F07E48" w:rsidRDefault="00150075" w:rsidP="001F46DC">
            <w:r w:rsidRPr="00F07E48">
              <w:t>Brazil</w:t>
            </w:r>
          </w:p>
        </w:tc>
        <w:tc>
          <w:tcPr>
            <w:tcW w:w="1915" w:type="dxa"/>
          </w:tcPr>
          <w:p w:rsidR="00150075" w:rsidRPr="00F07E48" w:rsidRDefault="00150075" w:rsidP="001F46DC">
            <w:r w:rsidRPr="00F07E48">
              <w:t>Germany</w:t>
            </w:r>
          </w:p>
        </w:tc>
        <w:tc>
          <w:tcPr>
            <w:tcW w:w="1915" w:type="dxa"/>
          </w:tcPr>
          <w:p w:rsidR="00150075" w:rsidRPr="00F07E48" w:rsidRDefault="00150075" w:rsidP="001F46DC">
            <w:r w:rsidRPr="00F07E48">
              <w:t>Netherlands</w:t>
            </w:r>
          </w:p>
        </w:tc>
        <w:tc>
          <w:tcPr>
            <w:tcW w:w="1915" w:type="dxa"/>
          </w:tcPr>
          <w:p w:rsidR="00150075" w:rsidRPr="00F07E48" w:rsidRDefault="00150075" w:rsidP="001F46DC">
            <w:r w:rsidRPr="00F07E48">
              <w:t>UK</w:t>
            </w:r>
          </w:p>
        </w:tc>
        <w:tc>
          <w:tcPr>
            <w:tcW w:w="1916" w:type="dxa"/>
          </w:tcPr>
          <w:p w:rsidR="00150075" w:rsidRPr="00F07E48" w:rsidRDefault="00150075" w:rsidP="001F46DC">
            <w:r w:rsidRPr="00F07E48">
              <w:t>France</w:t>
            </w:r>
          </w:p>
        </w:tc>
      </w:tr>
      <w:tr w:rsidR="00150075" w:rsidTr="001F46DC">
        <w:tc>
          <w:tcPr>
            <w:tcW w:w="1915" w:type="dxa"/>
          </w:tcPr>
          <w:p w:rsidR="00150075" w:rsidRPr="00F07E48" w:rsidRDefault="00150075" w:rsidP="001F46DC">
            <w:r w:rsidRPr="00F07E48">
              <w:t>Germany</w:t>
            </w:r>
          </w:p>
        </w:tc>
        <w:tc>
          <w:tcPr>
            <w:tcW w:w="1915" w:type="dxa"/>
          </w:tcPr>
          <w:p w:rsidR="00150075" w:rsidRPr="00F07E48" w:rsidRDefault="00150075" w:rsidP="001F46DC">
            <w:r w:rsidRPr="00F07E48">
              <w:t>UK</w:t>
            </w:r>
          </w:p>
        </w:tc>
        <w:tc>
          <w:tcPr>
            <w:tcW w:w="1915" w:type="dxa"/>
          </w:tcPr>
          <w:p w:rsidR="00150075" w:rsidRPr="00F07E48" w:rsidRDefault="00150075" w:rsidP="001F46DC">
            <w:r w:rsidRPr="00F07E48">
              <w:t>France</w:t>
            </w:r>
          </w:p>
        </w:tc>
        <w:tc>
          <w:tcPr>
            <w:tcW w:w="1915" w:type="dxa"/>
          </w:tcPr>
          <w:p w:rsidR="00150075" w:rsidRPr="00F07E48" w:rsidRDefault="00150075" w:rsidP="001F46DC">
            <w:r w:rsidRPr="00F07E48">
              <w:t>Brazil</w:t>
            </w:r>
          </w:p>
        </w:tc>
        <w:tc>
          <w:tcPr>
            <w:tcW w:w="1916" w:type="dxa"/>
          </w:tcPr>
          <w:p w:rsidR="00150075" w:rsidRPr="00F07E48" w:rsidRDefault="00150075" w:rsidP="001F46DC">
            <w:r w:rsidRPr="00F07E48">
              <w:t>Italy</w:t>
            </w:r>
          </w:p>
        </w:tc>
      </w:tr>
      <w:tr w:rsidR="00150075" w:rsidTr="001F46DC">
        <w:tc>
          <w:tcPr>
            <w:tcW w:w="1915" w:type="dxa"/>
          </w:tcPr>
          <w:p w:rsidR="00150075" w:rsidRPr="00F07E48" w:rsidRDefault="00150075" w:rsidP="001F46DC">
            <w:r w:rsidRPr="00F07E48">
              <w:t>South Korea</w:t>
            </w:r>
          </w:p>
        </w:tc>
        <w:tc>
          <w:tcPr>
            <w:tcW w:w="1915" w:type="dxa"/>
          </w:tcPr>
          <w:p w:rsidR="00150075" w:rsidRPr="00F07E48" w:rsidRDefault="00150075" w:rsidP="001F46DC">
            <w:r w:rsidRPr="00F07E48">
              <w:t>Brazil</w:t>
            </w:r>
          </w:p>
        </w:tc>
        <w:tc>
          <w:tcPr>
            <w:tcW w:w="1915" w:type="dxa"/>
          </w:tcPr>
          <w:p w:rsidR="00150075" w:rsidRPr="00F07E48" w:rsidRDefault="00150075" w:rsidP="001F46DC">
            <w:r w:rsidRPr="00F07E48">
              <w:t>UK</w:t>
            </w:r>
          </w:p>
        </w:tc>
        <w:tc>
          <w:tcPr>
            <w:tcW w:w="1915" w:type="dxa"/>
          </w:tcPr>
          <w:p w:rsidR="00150075" w:rsidRPr="00F07E48" w:rsidRDefault="00150075" w:rsidP="001F46DC">
            <w:r w:rsidRPr="00F07E48">
              <w:t>India</w:t>
            </w:r>
          </w:p>
        </w:tc>
        <w:tc>
          <w:tcPr>
            <w:tcW w:w="1916" w:type="dxa"/>
          </w:tcPr>
          <w:p w:rsidR="00150075" w:rsidRPr="00F07E48" w:rsidRDefault="00150075" w:rsidP="001F46DC">
            <w:r w:rsidRPr="00F07E48">
              <w:t>Netherlands</w:t>
            </w:r>
          </w:p>
        </w:tc>
      </w:tr>
      <w:tr w:rsidR="00150075" w:rsidTr="001F46DC">
        <w:tc>
          <w:tcPr>
            <w:tcW w:w="1915" w:type="dxa"/>
          </w:tcPr>
          <w:p w:rsidR="00150075" w:rsidRPr="00F07E48" w:rsidRDefault="00150075" w:rsidP="001F46DC">
            <w:r w:rsidRPr="00F07E48">
              <w:t>UK</w:t>
            </w:r>
          </w:p>
        </w:tc>
        <w:tc>
          <w:tcPr>
            <w:tcW w:w="1915" w:type="dxa"/>
          </w:tcPr>
          <w:p w:rsidR="00150075" w:rsidRPr="00F07E48" w:rsidRDefault="00150075" w:rsidP="001F46DC">
            <w:r w:rsidRPr="00F07E48">
              <w:t>France</w:t>
            </w:r>
          </w:p>
        </w:tc>
        <w:tc>
          <w:tcPr>
            <w:tcW w:w="1915" w:type="dxa"/>
          </w:tcPr>
          <w:p w:rsidR="00150075" w:rsidRPr="00F07E48" w:rsidRDefault="00150075" w:rsidP="001F46DC">
            <w:r w:rsidRPr="00F07E48">
              <w:t>Switzerland</w:t>
            </w:r>
          </w:p>
        </w:tc>
        <w:tc>
          <w:tcPr>
            <w:tcW w:w="1915" w:type="dxa"/>
          </w:tcPr>
          <w:p w:rsidR="00150075" w:rsidRPr="00F07E48" w:rsidRDefault="00150075" w:rsidP="001F46DC">
            <w:r w:rsidRPr="00F07E48">
              <w:t>Italy</w:t>
            </w:r>
          </w:p>
        </w:tc>
        <w:tc>
          <w:tcPr>
            <w:tcW w:w="1916" w:type="dxa"/>
          </w:tcPr>
          <w:p w:rsidR="00150075" w:rsidRPr="00F07E48" w:rsidRDefault="00150075" w:rsidP="001F46DC">
            <w:r w:rsidRPr="00F07E48">
              <w:t>Canada</w:t>
            </w:r>
          </w:p>
        </w:tc>
      </w:tr>
      <w:tr w:rsidR="00150075" w:rsidTr="001F46DC">
        <w:tc>
          <w:tcPr>
            <w:tcW w:w="1915" w:type="dxa"/>
          </w:tcPr>
          <w:p w:rsidR="00150075" w:rsidRPr="00F07E48" w:rsidRDefault="00150075" w:rsidP="001F46DC">
            <w:r w:rsidRPr="00F07E48">
              <w:t>France</w:t>
            </w:r>
          </w:p>
        </w:tc>
        <w:tc>
          <w:tcPr>
            <w:tcW w:w="1915" w:type="dxa"/>
          </w:tcPr>
          <w:p w:rsidR="00150075" w:rsidRPr="00F07E48" w:rsidRDefault="00150075" w:rsidP="001F46DC">
            <w:r w:rsidRPr="00F07E48">
              <w:t>Italy</w:t>
            </w:r>
          </w:p>
        </w:tc>
        <w:tc>
          <w:tcPr>
            <w:tcW w:w="1915" w:type="dxa"/>
          </w:tcPr>
          <w:p w:rsidR="00150075" w:rsidRPr="00F07E48" w:rsidRDefault="00150075" w:rsidP="001F46DC">
            <w:r w:rsidRPr="00F07E48">
              <w:t>Saudi Arabia</w:t>
            </w:r>
          </w:p>
        </w:tc>
        <w:tc>
          <w:tcPr>
            <w:tcW w:w="1915" w:type="dxa"/>
          </w:tcPr>
          <w:p w:rsidR="00150075" w:rsidRPr="00F07E48" w:rsidRDefault="00150075" w:rsidP="001F46DC">
            <w:r w:rsidRPr="00F07E48">
              <w:t>Switzerland</w:t>
            </w:r>
          </w:p>
        </w:tc>
        <w:tc>
          <w:tcPr>
            <w:tcW w:w="1916" w:type="dxa"/>
          </w:tcPr>
          <w:p w:rsidR="00150075" w:rsidRPr="00F07E48" w:rsidRDefault="00150075" w:rsidP="001F46DC">
            <w:r w:rsidRPr="00F07E48">
              <w:t>South Korea</w:t>
            </w:r>
          </w:p>
        </w:tc>
      </w:tr>
      <w:tr w:rsidR="00150075" w:rsidTr="001F46DC">
        <w:tc>
          <w:tcPr>
            <w:tcW w:w="1915" w:type="dxa"/>
          </w:tcPr>
          <w:p w:rsidR="00150075" w:rsidRPr="00F07E48" w:rsidRDefault="00150075" w:rsidP="001F46DC">
            <w:r w:rsidRPr="00F07E48">
              <w:t>Italy</w:t>
            </w:r>
          </w:p>
        </w:tc>
        <w:tc>
          <w:tcPr>
            <w:tcW w:w="1915" w:type="dxa"/>
          </w:tcPr>
          <w:p w:rsidR="00150075" w:rsidRPr="00F07E48" w:rsidRDefault="00150075" w:rsidP="001F46DC">
            <w:r w:rsidRPr="00F07E48">
              <w:t>South Korea</w:t>
            </w:r>
          </w:p>
        </w:tc>
        <w:tc>
          <w:tcPr>
            <w:tcW w:w="1915" w:type="dxa"/>
          </w:tcPr>
          <w:p w:rsidR="00150075" w:rsidRPr="00F07E48" w:rsidRDefault="00150075" w:rsidP="001F46DC">
            <w:r w:rsidRPr="00F07E48">
              <w:t>South Korea</w:t>
            </w:r>
          </w:p>
        </w:tc>
        <w:tc>
          <w:tcPr>
            <w:tcW w:w="1915" w:type="dxa"/>
          </w:tcPr>
          <w:p w:rsidR="00150075" w:rsidRPr="00F07E48" w:rsidRDefault="00150075" w:rsidP="001F46DC">
            <w:r w:rsidRPr="00F07E48">
              <w:t>South Korea</w:t>
            </w:r>
          </w:p>
        </w:tc>
        <w:tc>
          <w:tcPr>
            <w:tcW w:w="1916" w:type="dxa"/>
          </w:tcPr>
          <w:p w:rsidR="00150075" w:rsidRPr="00F07E48" w:rsidRDefault="00150075" w:rsidP="001F46DC">
            <w:r w:rsidRPr="00F07E48">
              <w:t>Spain</w:t>
            </w:r>
          </w:p>
        </w:tc>
      </w:tr>
      <w:tr w:rsidR="00150075" w:rsidTr="001F46DC">
        <w:tc>
          <w:tcPr>
            <w:tcW w:w="1915" w:type="dxa"/>
          </w:tcPr>
          <w:p w:rsidR="00150075" w:rsidRPr="00F07E48" w:rsidRDefault="00150075" w:rsidP="001F46DC">
            <w:r w:rsidRPr="00F07E48">
              <w:t>Turkey</w:t>
            </w:r>
          </w:p>
        </w:tc>
        <w:tc>
          <w:tcPr>
            <w:tcW w:w="1915" w:type="dxa"/>
          </w:tcPr>
          <w:p w:rsidR="00150075" w:rsidRPr="00F07E48" w:rsidRDefault="00150075" w:rsidP="001F46DC">
            <w:r w:rsidRPr="00F07E48">
              <w:t>Saudi Arabia</w:t>
            </w:r>
          </w:p>
        </w:tc>
        <w:tc>
          <w:tcPr>
            <w:tcW w:w="1915" w:type="dxa"/>
          </w:tcPr>
          <w:p w:rsidR="00150075" w:rsidRPr="00F07E48" w:rsidRDefault="00150075" w:rsidP="001F46DC">
            <w:r w:rsidRPr="00F07E48">
              <w:t>Italy</w:t>
            </w:r>
          </w:p>
        </w:tc>
        <w:tc>
          <w:tcPr>
            <w:tcW w:w="1915" w:type="dxa"/>
          </w:tcPr>
          <w:p w:rsidR="00150075" w:rsidRPr="00F07E48" w:rsidRDefault="00150075" w:rsidP="001F46DC">
            <w:r w:rsidRPr="00F07E48">
              <w:t>Canada</w:t>
            </w:r>
          </w:p>
        </w:tc>
        <w:tc>
          <w:tcPr>
            <w:tcW w:w="1916" w:type="dxa"/>
          </w:tcPr>
          <w:p w:rsidR="00150075" w:rsidRPr="00F07E48" w:rsidRDefault="00150075" w:rsidP="001F46DC">
            <w:r w:rsidRPr="00F07E48">
              <w:t>India</w:t>
            </w:r>
          </w:p>
        </w:tc>
      </w:tr>
      <w:tr w:rsidR="00150075" w:rsidTr="001F46DC">
        <w:tc>
          <w:tcPr>
            <w:tcW w:w="1915" w:type="dxa"/>
          </w:tcPr>
          <w:p w:rsidR="00150075" w:rsidRPr="00F07E48" w:rsidRDefault="00150075" w:rsidP="001F46DC">
            <w:r w:rsidRPr="00F07E48">
              <w:t>Pakistan</w:t>
            </w:r>
          </w:p>
        </w:tc>
        <w:tc>
          <w:tcPr>
            <w:tcW w:w="1915" w:type="dxa"/>
          </w:tcPr>
          <w:p w:rsidR="00150075" w:rsidRPr="00F07E48" w:rsidRDefault="00150075" w:rsidP="001F46DC">
            <w:r w:rsidRPr="00F07E48">
              <w:t>Indonesia</w:t>
            </w:r>
          </w:p>
        </w:tc>
        <w:tc>
          <w:tcPr>
            <w:tcW w:w="1915" w:type="dxa"/>
          </w:tcPr>
          <w:p w:rsidR="00150075" w:rsidRPr="00F07E48" w:rsidRDefault="00150075" w:rsidP="001F46DC">
            <w:r w:rsidRPr="00F07E48">
              <w:t>Norway</w:t>
            </w:r>
          </w:p>
        </w:tc>
        <w:tc>
          <w:tcPr>
            <w:tcW w:w="1915" w:type="dxa"/>
          </w:tcPr>
          <w:p w:rsidR="00150075" w:rsidRPr="00F07E48" w:rsidRDefault="00150075" w:rsidP="001F46DC">
            <w:r w:rsidRPr="00F07E48">
              <w:t>Spain</w:t>
            </w:r>
          </w:p>
        </w:tc>
        <w:tc>
          <w:tcPr>
            <w:tcW w:w="1916" w:type="dxa"/>
          </w:tcPr>
          <w:p w:rsidR="00150075" w:rsidRPr="00F07E48" w:rsidRDefault="00150075" w:rsidP="001F46DC">
            <w:r w:rsidRPr="00F07E48">
              <w:t>Russia</w:t>
            </w:r>
          </w:p>
        </w:tc>
      </w:tr>
      <w:tr w:rsidR="00150075" w:rsidTr="001F46DC">
        <w:tc>
          <w:tcPr>
            <w:tcW w:w="1915" w:type="dxa"/>
          </w:tcPr>
          <w:p w:rsidR="00150075" w:rsidRPr="00F07E48" w:rsidRDefault="00150075" w:rsidP="001F46DC">
            <w:r w:rsidRPr="00F07E48">
              <w:t>Indonesia</w:t>
            </w:r>
          </w:p>
        </w:tc>
        <w:tc>
          <w:tcPr>
            <w:tcW w:w="1915" w:type="dxa"/>
          </w:tcPr>
          <w:p w:rsidR="00150075" w:rsidRPr="00F07E48" w:rsidRDefault="00150075" w:rsidP="001F46DC">
            <w:r w:rsidRPr="00F07E48">
              <w:t>Mexico</w:t>
            </w:r>
          </w:p>
        </w:tc>
        <w:tc>
          <w:tcPr>
            <w:tcW w:w="1915" w:type="dxa"/>
          </w:tcPr>
          <w:p w:rsidR="00150075" w:rsidRPr="00F07E48" w:rsidRDefault="00150075" w:rsidP="001F46DC">
            <w:r w:rsidRPr="00F07E48">
              <w:t>Canada</w:t>
            </w:r>
          </w:p>
        </w:tc>
        <w:tc>
          <w:tcPr>
            <w:tcW w:w="1915" w:type="dxa"/>
          </w:tcPr>
          <w:p w:rsidR="00150075" w:rsidRPr="00F07E48" w:rsidRDefault="00150075" w:rsidP="001F46DC">
            <w:r w:rsidRPr="00F07E48">
              <w:t>Netherlands</w:t>
            </w:r>
          </w:p>
        </w:tc>
        <w:tc>
          <w:tcPr>
            <w:tcW w:w="1916" w:type="dxa"/>
          </w:tcPr>
          <w:p w:rsidR="00150075" w:rsidRPr="00F07E48" w:rsidRDefault="00150075" w:rsidP="001F46DC">
            <w:r w:rsidRPr="00F07E48">
              <w:t>Singapore</w:t>
            </w:r>
          </w:p>
        </w:tc>
      </w:tr>
      <w:tr w:rsidR="00150075" w:rsidTr="001F46DC">
        <w:tc>
          <w:tcPr>
            <w:tcW w:w="1915" w:type="dxa"/>
          </w:tcPr>
          <w:p w:rsidR="00150075" w:rsidRPr="00F07E48" w:rsidRDefault="00150075" w:rsidP="001F46DC">
            <w:r w:rsidRPr="00F07E48">
              <w:t>Iran</w:t>
            </w:r>
          </w:p>
        </w:tc>
        <w:tc>
          <w:tcPr>
            <w:tcW w:w="1915" w:type="dxa"/>
          </w:tcPr>
          <w:p w:rsidR="00150075" w:rsidRPr="00F07E48" w:rsidRDefault="00150075" w:rsidP="001F46DC">
            <w:r w:rsidRPr="00F07E48">
              <w:t>Spain</w:t>
            </w:r>
          </w:p>
        </w:tc>
        <w:tc>
          <w:tcPr>
            <w:tcW w:w="1915" w:type="dxa"/>
          </w:tcPr>
          <w:p w:rsidR="00150075" w:rsidRPr="00F07E48" w:rsidRDefault="00150075" w:rsidP="001F46DC">
            <w:r w:rsidRPr="00F07E48">
              <w:t>India</w:t>
            </w:r>
          </w:p>
        </w:tc>
        <w:tc>
          <w:tcPr>
            <w:tcW w:w="1915" w:type="dxa"/>
          </w:tcPr>
          <w:p w:rsidR="00150075" w:rsidRPr="00F07E48" w:rsidRDefault="00150075" w:rsidP="001F46DC">
            <w:r w:rsidRPr="00F07E48">
              <w:t>Australia</w:t>
            </w:r>
          </w:p>
        </w:tc>
        <w:tc>
          <w:tcPr>
            <w:tcW w:w="1916" w:type="dxa"/>
          </w:tcPr>
          <w:p w:rsidR="00150075" w:rsidRPr="00F07E48" w:rsidRDefault="00150075" w:rsidP="001F46DC">
            <w:r w:rsidRPr="00F07E48">
              <w:t>Belgium</w:t>
            </w:r>
          </w:p>
        </w:tc>
      </w:tr>
    </w:tbl>
    <w:p w:rsidR="00150075" w:rsidRDefault="00150075" w:rsidP="00150075"/>
    <w:p w:rsidR="00150075" w:rsidRDefault="00150075" w:rsidP="00150075"/>
    <w:p w:rsidR="0093790C" w:rsidRDefault="0093790C">
      <w:r>
        <w:br w:type="page"/>
      </w:r>
    </w:p>
    <w:p w:rsidR="00150075" w:rsidRDefault="00150075" w:rsidP="00150075"/>
    <w:p w:rsidR="0093790C" w:rsidRDefault="0093790C" w:rsidP="00150075"/>
    <w:p w:rsidR="0093790C" w:rsidRDefault="0093790C" w:rsidP="00150075"/>
    <w:p w:rsidR="0093790C" w:rsidRDefault="0093790C" w:rsidP="00150075"/>
    <w:p w:rsidR="0093790C" w:rsidRDefault="0093790C" w:rsidP="00150075">
      <w:bookmarkStart w:id="0" w:name="_GoBack"/>
      <w:bookmarkEnd w:id="0"/>
    </w:p>
    <w:p w:rsidR="00150075" w:rsidRDefault="00150075" w:rsidP="00150075">
      <w:pPr>
        <w:rPr>
          <w:b/>
        </w:rPr>
      </w:pPr>
      <w:r>
        <w:rPr>
          <w:b/>
        </w:rPr>
        <w:t>Table 3  Major and Emerging Powers in Global Finance</w:t>
      </w:r>
    </w:p>
    <w:p w:rsidR="00150075" w:rsidRDefault="0093790C" w:rsidP="00150075">
      <w:r>
        <w:t>(Signs in parentheses indicate direction of change</w:t>
      </w:r>
      <w:r w:rsidR="006A37CB">
        <w:t xml:space="preserve"> over time)</w:t>
      </w:r>
    </w:p>
    <w:p w:rsidR="006A37CB" w:rsidRPr="006A37CB" w:rsidRDefault="006A37CB" w:rsidP="00150075"/>
    <w:tbl>
      <w:tblPr>
        <w:tblStyle w:val="TableGrid"/>
        <w:tblW w:w="0" w:type="auto"/>
        <w:tblLook w:val="04A0" w:firstRow="1" w:lastRow="0" w:firstColumn="1" w:lastColumn="0" w:noHBand="0" w:noVBand="1"/>
      </w:tblPr>
      <w:tblGrid>
        <w:gridCol w:w="2394"/>
        <w:gridCol w:w="2394"/>
        <w:gridCol w:w="2394"/>
        <w:gridCol w:w="2394"/>
      </w:tblGrid>
      <w:tr w:rsidR="00150075" w:rsidTr="001F46DC">
        <w:tc>
          <w:tcPr>
            <w:tcW w:w="2394" w:type="dxa"/>
          </w:tcPr>
          <w:p w:rsidR="00150075" w:rsidRPr="00193494" w:rsidRDefault="00150075" w:rsidP="001F46DC">
            <w:pPr>
              <w:rPr>
                <w:b/>
              </w:rPr>
            </w:pPr>
            <w:r>
              <w:rPr>
                <w:b/>
              </w:rPr>
              <w:t>Top-ranked in all five indices</w:t>
            </w:r>
          </w:p>
        </w:tc>
        <w:tc>
          <w:tcPr>
            <w:tcW w:w="2394" w:type="dxa"/>
          </w:tcPr>
          <w:p w:rsidR="00150075" w:rsidRPr="00193494" w:rsidRDefault="00150075" w:rsidP="001F46DC">
            <w:pPr>
              <w:rPr>
                <w:b/>
              </w:rPr>
            </w:pPr>
            <w:r>
              <w:rPr>
                <w:b/>
              </w:rPr>
              <w:t>Top-ranked in at least one traditional and one financial index</w:t>
            </w:r>
          </w:p>
        </w:tc>
        <w:tc>
          <w:tcPr>
            <w:tcW w:w="2394" w:type="dxa"/>
          </w:tcPr>
          <w:p w:rsidR="00150075" w:rsidRPr="00193494" w:rsidRDefault="00150075" w:rsidP="001F46DC">
            <w:pPr>
              <w:rPr>
                <w:b/>
              </w:rPr>
            </w:pPr>
            <w:r>
              <w:rPr>
                <w:b/>
              </w:rPr>
              <w:t>Top-ranked in both traditional but no financial indices</w:t>
            </w:r>
          </w:p>
        </w:tc>
        <w:tc>
          <w:tcPr>
            <w:tcW w:w="2394" w:type="dxa"/>
          </w:tcPr>
          <w:p w:rsidR="00150075" w:rsidRPr="00193494" w:rsidRDefault="00150075" w:rsidP="001F46DC">
            <w:pPr>
              <w:rPr>
                <w:b/>
              </w:rPr>
            </w:pPr>
            <w:r>
              <w:rPr>
                <w:b/>
              </w:rPr>
              <w:t>Top-ranked in all financial but no traditional indices</w:t>
            </w:r>
          </w:p>
        </w:tc>
      </w:tr>
      <w:tr w:rsidR="00150075" w:rsidTr="001F46DC">
        <w:tc>
          <w:tcPr>
            <w:tcW w:w="2394" w:type="dxa"/>
          </w:tcPr>
          <w:p w:rsidR="00150075" w:rsidRDefault="00150075" w:rsidP="001F46DC">
            <w:r>
              <w:t xml:space="preserve">United States  </w:t>
            </w:r>
          </w:p>
          <w:p w:rsidR="00150075" w:rsidRDefault="00150075" w:rsidP="001F46DC">
            <w:r>
              <w:t>China (++)</w:t>
            </w:r>
          </w:p>
          <w:p w:rsidR="00150075" w:rsidRDefault="00150075" w:rsidP="001F46DC">
            <w:r>
              <w:t>Japan (- -)</w:t>
            </w:r>
          </w:p>
          <w:p w:rsidR="00150075" w:rsidRDefault="00150075" w:rsidP="001F46DC">
            <w:r>
              <w:t>Germany (+)</w:t>
            </w:r>
          </w:p>
          <w:p w:rsidR="00150075" w:rsidRDefault="00150075" w:rsidP="001F46DC">
            <w:r>
              <w:t>India (+)</w:t>
            </w:r>
          </w:p>
          <w:p w:rsidR="00150075" w:rsidRDefault="00150075" w:rsidP="001F46DC">
            <w:r>
              <w:t>United Kingdom (-)</w:t>
            </w:r>
          </w:p>
          <w:p w:rsidR="00150075" w:rsidRDefault="00150075" w:rsidP="001F46DC">
            <w:r>
              <w:t>France (-)</w:t>
            </w:r>
          </w:p>
          <w:p w:rsidR="00150075" w:rsidRDefault="00150075" w:rsidP="001F46DC">
            <w:r>
              <w:t>Italy (-)</w:t>
            </w:r>
          </w:p>
          <w:p w:rsidR="00150075" w:rsidRDefault="00150075" w:rsidP="001F46DC">
            <w:r>
              <w:t>South Korea (+)</w:t>
            </w:r>
          </w:p>
        </w:tc>
        <w:tc>
          <w:tcPr>
            <w:tcW w:w="2394" w:type="dxa"/>
          </w:tcPr>
          <w:p w:rsidR="00150075" w:rsidRDefault="00150075" w:rsidP="001F46DC">
            <w:r>
              <w:t xml:space="preserve">Russia </w:t>
            </w:r>
          </w:p>
          <w:p w:rsidR="00150075" w:rsidRDefault="00150075" w:rsidP="001F46DC">
            <w:r>
              <w:t>Brazil (+)</w:t>
            </w:r>
          </w:p>
          <w:p w:rsidR="00150075" w:rsidRDefault="00150075" w:rsidP="001F46DC">
            <w:r>
              <w:t>Saudi Arabia (+)</w:t>
            </w:r>
          </w:p>
          <w:p w:rsidR="00150075" w:rsidRDefault="00150075" w:rsidP="001F46DC">
            <w:r>
              <w:t xml:space="preserve">Spain </w:t>
            </w:r>
          </w:p>
        </w:tc>
        <w:tc>
          <w:tcPr>
            <w:tcW w:w="2394" w:type="dxa"/>
          </w:tcPr>
          <w:p w:rsidR="00150075" w:rsidRDefault="00150075" w:rsidP="001F46DC">
            <w:r>
              <w:t xml:space="preserve">Indonesia </w:t>
            </w:r>
          </w:p>
        </w:tc>
        <w:tc>
          <w:tcPr>
            <w:tcW w:w="2394" w:type="dxa"/>
          </w:tcPr>
          <w:p w:rsidR="00150075" w:rsidRDefault="00150075" w:rsidP="001F46DC">
            <w:r>
              <w:t>Canada</w:t>
            </w:r>
          </w:p>
          <w:p w:rsidR="00150075" w:rsidRDefault="00150075" w:rsidP="001F46DC">
            <w:r>
              <w:t>Netherlands (-)</w:t>
            </w:r>
          </w:p>
        </w:tc>
      </w:tr>
    </w:tbl>
    <w:p w:rsidR="00150075" w:rsidRPr="00193494" w:rsidRDefault="00150075" w:rsidP="00150075"/>
    <w:p w:rsidR="0093790C" w:rsidRDefault="0093790C" w:rsidP="0093790C">
      <w:r>
        <w:t xml:space="preserve">Notes: (1) Mean for Russia and Saudi Arabia based on 4 indices only (no SS). Data for Indonesia begin in 1997.  (2) Magnitude of mean change over the study period, across all indices for all countries in dataset: </w:t>
      </w:r>
    </w:p>
    <w:p w:rsidR="0093790C" w:rsidRDefault="0093790C" w:rsidP="0093790C">
      <w:r>
        <w:t>(++) Large rise, 95</w:t>
      </w:r>
      <w:r w:rsidRPr="005C0D71">
        <w:rPr>
          <w:vertAlign w:val="superscript"/>
        </w:rPr>
        <w:t>th</w:t>
      </w:r>
      <w:r>
        <w:t xml:space="preserve"> percentile (1.06) or above</w:t>
      </w:r>
    </w:p>
    <w:p w:rsidR="0093790C" w:rsidRDefault="0093790C" w:rsidP="0093790C">
      <w:r>
        <w:t>(+) Moderate rise, between 75</w:t>
      </w:r>
      <w:r w:rsidRPr="00D577C7">
        <w:rPr>
          <w:vertAlign w:val="superscript"/>
        </w:rPr>
        <w:t>th</w:t>
      </w:r>
      <w:r>
        <w:t xml:space="preserve"> (0.14) and 95</w:t>
      </w:r>
      <w:r w:rsidRPr="00D577C7">
        <w:rPr>
          <w:vertAlign w:val="superscript"/>
        </w:rPr>
        <w:t>th</w:t>
      </w:r>
      <w:r>
        <w:t xml:space="preserve"> (1.06) percentile</w:t>
      </w:r>
    </w:p>
    <w:p w:rsidR="0093790C" w:rsidRDefault="0093790C" w:rsidP="0093790C">
      <w:r>
        <w:t>(-) Moderate fall, between 5</w:t>
      </w:r>
      <w:r w:rsidRPr="00D577C7">
        <w:rPr>
          <w:vertAlign w:val="superscript"/>
        </w:rPr>
        <w:t>th</w:t>
      </w:r>
      <w:r>
        <w:t xml:space="preserve"> (-1.13) and 25</w:t>
      </w:r>
      <w:r w:rsidRPr="00D577C7">
        <w:rPr>
          <w:vertAlign w:val="superscript"/>
        </w:rPr>
        <w:t>th</w:t>
      </w:r>
      <w:r>
        <w:t xml:space="preserve"> (-0.19) percentile</w:t>
      </w:r>
    </w:p>
    <w:p w:rsidR="0093790C" w:rsidRDefault="0093790C" w:rsidP="0093790C">
      <w:r>
        <w:t>(- -) Large fall, 5</w:t>
      </w:r>
      <w:r w:rsidRPr="00D577C7">
        <w:rPr>
          <w:vertAlign w:val="superscript"/>
        </w:rPr>
        <w:t>th</w:t>
      </w:r>
      <w:r>
        <w:t xml:space="preserve"> percentile (-1.13) or below</w:t>
      </w:r>
    </w:p>
    <w:p w:rsidR="0093790C" w:rsidRDefault="0093790C">
      <w:r>
        <w:br w:type="page"/>
      </w:r>
    </w:p>
    <w:p w:rsidR="0093790C" w:rsidRDefault="0093790C" w:rsidP="0093790C"/>
    <w:p w:rsidR="00150075" w:rsidRDefault="00150075" w:rsidP="00150075"/>
    <w:p w:rsidR="00150075" w:rsidRPr="0049312D" w:rsidRDefault="00150075" w:rsidP="00150075">
      <w:pPr>
        <w:rPr>
          <w:b/>
          <w:noProof/>
        </w:rPr>
      </w:pPr>
      <w:r>
        <w:rPr>
          <w:b/>
          <w:noProof/>
        </w:rPr>
        <w:t xml:space="preserve">Figure 6  </w:t>
      </w:r>
      <w:r w:rsidRPr="00DF0C7B">
        <w:rPr>
          <w:b/>
          <w:noProof/>
        </w:rPr>
        <w:t>Financial Profiles—Key Countries and Multilateral Clubs</w:t>
      </w:r>
    </w:p>
    <w:p w:rsidR="00150075" w:rsidRDefault="00150075" w:rsidP="00150075">
      <w:pPr>
        <w:rPr>
          <w:noProof/>
        </w:rPr>
      </w:pPr>
    </w:p>
    <w:p w:rsidR="00150075" w:rsidRDefault="00150075" w:rsidP="00150075">
      <w:pPr>
        <w:rPr>
          <w:noProof/>
        </w:rPr>
      </w:pPr>
    </w:p>
    <w:p w:rsidR="00150075" w:rsidRPr="0070066F" w:rsidRDefault="00150075" w:rsidP="00150075">
      <w:r>
        <w:rPr>
          <w:noProof/>
        </w:rPr>
        <w:drawing>
          <wp:inline distT="0" distB="0" distL="0" distR="0" wp14:anchorId="70BDFD21" wp14:editId="43A4DFB0">
            <wp:extent cx="5819775" cy="4552950"/>
            <wp:effectExtent l="0" t="0" r="9525" b="0"/>
            <wp:docPr id="1" name="Picture 1" descr="C:\Users\leslie\Downloads\SS vs ST Demo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ie\Downloads\SS vs ST Demo 3.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34236" cy="4564263"/>
                    </a:xfrm>
                    <a:prstGeom prst="rect">
                      <a:avLst/>
                    </a:prstGeom>
                    <a:noFill/>
                    <a:ln>
                      <a:noFill/>
                    </a:ln>
                  </pic:spPr>
                </pic:pic>
              </a:graphicData>
            </a:graphic>
          </wp:inline>
        </w:drawing>
      </w:r>
    </w:p>
    <w:p w:rsidR="00150075" w:rsidRDefault="00150075" w:rsidP="00150075">
      <w:pPr>
        <w:rPr>
          <w:b/>
        </w:rPr>
      </w:pPr>
    </w:p>
    <w:p w:rsidR="00150075" w:rsidRDefault="00150075" w:rsidP="00150075"/>
    <w:p w:rsidR="00150075" w:rsidRDefault="00150075" w:rsidP="00150075">
      <w:pPr>
        <w:rPr>
          <w:b/>
        </w:rPr>
      </w:pPr>
      <w:r>
        <w:t>Note: Germany is shown twice, once separately, and also as included in the Euro-17 aggregate.</w:t>
      </w:r>
      <w:r>
        <w:rPr>
          <w:b/>
        </w:rPr>
        <w:br w:type="page"/>
      </w:r>
    </w:p>
    <w:p w:rsidR="00150075" w:rsidRDefault="00150075" w:rsidP="00150075">
      <w:pPr>
        <w:rPr>
          <w:b/>
        </w:rPr>
      </w:pPr>
    </w:p>
    <w:p w:rsidR="00150075" w:rsidRDefault="00150075" w:rsidP="00150075">
      <w:pPr>
        <w:rPr>
          <w:b/>
        </w:rPr>
      </w:pPr>
    </w:p>
    <w:p w:rsidR="00150075" w:rsidRDefault="00150075" w:rsidP="00150075">
      <w:pPr>
        <w:rPr>
          <w:b/>
        </w:rPr>
      </w:pPr>
      <w:r>
        <w:rPr>
          <w:b/>
        </w:rPr>
        <w:t xml:space="preserve">Figure 7  Share of Stocks </w:t>
      </w:r>
      <w:r w:rsidRPr="00DF0C7B">
        <w:rPr>
          <w:b/>
        </w:rPr>
        <w:t xml:space="preserve">(SS), </w:t>
      </w:r>
      <w:r>
        <w:rPr>
          <w:b/>
        </w:rPr>
        <w:t>Component Indicators</w:t>
      </w:r>
    </w:p>
    <w:p w:rsidR="00150075" w:rsidRDefault="00150075" w:rsidP="00150075">
      <w:pPr>
        <w:rPr>
          <w:b/>
        </w:rPr>
      </w:pPr>
    </w:p>
    <w:p w:rsidR="00150075" w:rsidRDefault="00150075" w:rsidP="00150075">
      <w:r>
        <w:rPr>
          <w:noProof/>
        </w:rPr>
        <w:drawing>
          <wp:inline distT="0" distB="0" distL="0" distR="0" wp14:anchorId="272630CA" wp14:editId="7F2A84A7">
            <wp:extent cx="5876925" cy="431063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86832" cy="4317905"/>
                    </a:xfrm>
                    <a:prstGeom prst="rect">
                      <a:avLst/>
                    </a:prstGeom>
                    <a:noFill/>
                    <a:ln>
                      <a:noFill/>
                    </a:ln>
                  </pic:spPr>
                </pic:pic>
              </a:graphicData>
            </a:graphic>
          </wp:inline>
        </w:drawing>
      </w:r>
    </w:p>
    <w:p w:rsidR="00150075" w:rsidRDefault="00150075" w:rsidP="00150075"/>
    <w:p w:rsidR="00150075" w:rsidRDefault="00150075" w:rsidP="00150075">
      <w:r>
        <w:br w:type="page"/>
      </w:r>
    </w:p>
    <w:p w:rsidR="00150075" w:rsidRDefault="00150075" w:rsidP="00150075">
      <w:pPr>
        <w:rPr>
          <w:b/>
        </w:rPr>
      </w:pPr>
      <w:r>
        <w:rPr>
          <w:b/>
        </w:rPr>
        <w:lastRenderedPageBreak/>
        <w:t xml:space="preserve">Figure 8  Share of </w:t>
      </w:r>
      <w:r w:rsidRPr="00DF0C7B">
        <w:rPr>
          <w:b/>
        </w:rPr>
        <w:t xml:space="preserve">Transactions (ST), </w:t>
      </w:r>
      <w:r>
        <w:rPr>
          <w:b/>
        </w:rPr>
        <w:t>Component Indicators</w:t>
      </w:r>
    </w:p>
    <w:p w:rsidR="00150075" w:rsidRPr="00B40473" w:rsidRDefault="00150075" w:rsidP="00150075">
      <w:pPr>
        <w:rPr>
          <w:b/>
        </w:rPr>
      </w:pPr>
    </w:p>
    <w:p w:rsidR="00150075" w:rsidRDefault="00150075" w:rsidP="00150075"/>
    <w:p w:rsidR="00150075" w:rsidRPr="0070066F" w:rsidRDefault="00150075" w:rsidP="00150075">
      <w:r>
        <w:rPr>
          <w:noProof/>
        </w:rPr>
        <w:drawing>
          <wp:inline distT="0" distB="0" distL="0" distR="0" wp14:anchorId="1D30019E" wp14:editId="55BAC31E">
            <wp:extent cx="5428125" cy="3981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44352" cy="3993352"/>
                    </a:xfrm>
                    <a:prstGeom prst="rect">
                      <a:avLst/>
                    </a:prstGeom>
                    <a:noFill/>
                    <a:ln>
                      <a:noFill/>
                    </a:ln>
                  </pic:spPr>
                </pic:pic>
              </a:graphicData>
            </a:graphic>
          </wp:inline>
        </w:drawing>
      </w:r>
    </w:p>
    <w:p w:rsidR="00C621B0" w:rsidRDefault="00C621B0">
      <w:pPr>
        <w:rPr>
          <w:rFonts w:cs="Times New Roman"/>
          <w:b/>
          <w:szCs w:val="24"/>
        </w:rPr>
      </w:pPr>
      <w:r>
        <w:rPr>
          <w:rFonts w:cs="Times New Roman"/>
          <w:b/>
          <w:szCs w:val="24"/>
        </w:rPr>
        <w:br w:type="page"/>
      </w:r>
    </w:p>
    <w:p w:rsidR="00D21028" w:rsidRPr="006828AE" w:rsidRDefault="00C621B0" w:rsidP="00751132">
      <w:pPr>
        <w:ind w:left="720" w:hanging="720"/>
        <w:rPr>
          <w:rFonts w:cs="Times New Roman"/>
          <w:b/>
          <w:szCs w:val="24"/>
        </w:rPr>
      </w:pPr>
      <w:r>
        <w:rPr>
          <w:rFonts w:cs="Times New Roman"/>
          <w:b/>
          <w:szCs w:val="24"/>
        </w:rPr>
        <w:lastRenderedPageBreak/>
        <w:t>Endnotes</w:t>
      </w:r>
    </w:p>
    <w:sectPr w:rsidR="00D21028" w:rsidRPr="006828AE" w:rsidSect="00884F2A">
      <w:footerReference w:type="default" r:id="rId26"/>
      <w:footerReference w:type="first" r:id="rId27"/>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151" w:rsidRDefault="00E80151" w:rsidP="00884F2A">
      <w:r>
        <w:separator/>
      </w:r>
    </w:p>
  </w:endnote>
  <w:endnote w:type="continuationSeparator" w:id="0">
    <w:p w:rsidR="00E80151" w:rsidRDefault="00E80151" w:rsidP="00884F2A">
      <w:r>
        <w:continuationSeparator/>
      </w:r>
    </w:p>
  </w:endnote>
  <w:endnote w:id="1">
    <w:p w:rsidR="007264D8" w:rsidRPr="002964C4" w:rsidRDefault="007264D8" w:rsidP="007264D8">
      <w:pPr>
        <w:pStyle w:val="EndnoteText"/>
        <w:rPr>
          <w:sz w:val="24"/>
          <w:szCs w:val="24"/>
        </w:rPr>
      </w:pPr>
      <w:r w:rsidRPr="002964C4">
        <w:rPr>
          <w:rStyle w:val="EndnoteReference"/>
          <w:sz w:val="24"/>
          <w:szCs w:val="24"/>
        </w:rPr>
        <w:endnoteRef/>
      </w:r>
      <w:r w:rsidRPr="002964C4">
        <w:rPr>
          <w:sz w:val="24"/>
          <w:szCs w:val="24"/>
        </w:rPr>
        <w:t xml:space="preserve"> We are grateful for comments to Benjamin J. Cohen, Joshua Aizenman, Hirohito Ito, Nita Rudra, and Philippe de Lombaerde, and absolve them of responsibility for remaining errors. For travel funding and Workshop invitations we thank the GR:EEN Program of the UNU-CRIS, the School of International Relations of the University of Southern California, and the Institute for Latin American Studies and &lt;www.desigualdades.net&gt; of the </w:t>
      </w:r>
      <w:r w:rsidRPr="002964C4">
        <w:rPr>
          <w:rFonts w:cs="Times New Roman"/>
          <w:sz w:val="24"/>
          <w:szCs w:val="24"/>
        </w:rPr>
        <w:t>Freie Universität Berlin.</w:t>
      </w:r>
    </w:p>
  </w:endnote>
  <w:endnote w:id="2">
    <w:p w:rsidR="002964C4" w:rsidRPr="002964C4" w:rsidRDefault="002964C4" w:rsidP="00D8648A">
      <w:pPr>
        <w:pStyle w:val="EndnoteText"/>
        <w:rPr>
          <w:sz w:val="24"/>
          <w:szCs w:val="24"/>
        </w:rPr>
      </w:pPr>
      <w:r w:rsidRPr="002964C4">
        <w:rPr>
          <w:rStyle w:val="EndnoteReference"/>
          <w:sz w:val="24"/>
          <w:szCs w:val="24"/>
        </w:rPr>
        <w:endnoteRef/>
      </w:r>
      <w:r w:rsidRPr="002964C4">
        <w:rPr>
          <w:sz w:val="24"/>
          <w:szCs w:val="24"/>
        </w:rPr>
        <w:t xml:space="preserve"> The financial G20 (also called the large economies G20) should not be confused with the developing countries’ trade G20, formed in 2003 to negotiate jointly within the World Trade Organization.</w:t>
      </w:r>
    </w:p>
  </w:endnote>
  <w:endnote w:id="3">
    <w:p w:rsidR="002964C4" w:rsidRPr="002964C4" w:rsidRDefault="002964C4" w:rsidP="00D8648A">
      <w:pPr>
        <w:pStyle w:val="EndnoteText"/>
        <w:rPr>
          <w:sz w:val="24"/>
          <w:szCs w:val="24"/>
        </w:rPr>
      </w:pPr>
      <w:r w:rsidRPr="002964C4">
        <w:rPr>
          <w:rStyle w:val="EndnoteReference"/>
          <w:sz w:val="24"/>
          <w:szCs w:val="24"/>
        </w:rPr>
        <w:endnoteRef/>
      </w:r>
      <w:r w:rsidRPr="002964C4">
        <w:rPr>
          <w:sz w:val="24"/>
          <w:szCs w:val="24"/>
        </w:rPr>
        <w:t xml:space="preserve"> Data on GDP, population, telephones, and industrial value-added are from World Bank 2012b, WDI. Data on foreign exchange reserves are from Lane and Milesi-Ferre</w:t>
      </w:r>
      <w:r w:rsidR="00D44833">
        <w:rPr>
          <w:sz w:val="24"/>
          <w:szCs w:val="24"/>
        </w:rPr>
        <w:t>t</w:t>
      </w:r>
      <w:r w:rsidRPr="002964C4">
        <w:rPr>
          <w:sz w:val="24"/>
          <w:szCs w:val="24"/>
        </w:rPr>
        <w:t>ti 2007. Data on military spending from Singer, Bremer, and Stuckey 1972..</w:t>
      </w:r>
    </w:p>
  </w:endnote>
  <w:endnote w:id="4">
    <w:p w:rsidR="002964C4" w:rsidRPr="002964C4" w:rsidRDefault="002964C4" w:rsidP="00811B9C">
      <w:pPr>
        <w:pStyle w:val="EndnoteText"/>
        <w:rPr>
          <w:sz w:val="24"/>
          <w:szCs w:val="24"/>
        </w:rPr>
      </w:pPr>
      <w:r w:rsidRPr="002964C4">
        <w:rPr>
          <w:rStyle w:val="EndnoteReference"/>
          <w:sz w:val="24"/>
          <w:szCs w:val="24"/>
        </w:rPr>
        <w:endnoteRef/>
      </w:r>
      <w:r w:rsidRPr="002964C4">
        <w:rPr>
          <w:sz w:val="24"/>
          <w:szCs w:val="24"/>
        </w:rPr>
        <w:t xml:space="preserve"> GDP data for EW and trade data for TST are from World Bank 2012b, WDI. Current account surplus data for CAS are taken from Lane and Milesi-Ferret</w:t>
      </w:r>
      <w:r w:rsidR="00D44833">
        <w:rPr>
          <w:sz w:val="24"/>
          <w:szCs w:val="24"/>
        </w:rPr>
        <w:t>t</w:t>
      </w:r>
      <w:r w:rsidRPr="002964C4">
        <w:rPr>
          <w:sz w:val="24"/>
          <w:szCs w:val="24"/>
        </w:rPr>
        <w:t>i 2007.</w:t>
      </w:r>
    </w:p>
  </w:endnote>
  <w:endnote w:id="5">
    <w:p w:rsidR="002964C4" w:rsidRPr="002964C4" w:rsidRDefault="002964C4" w:rsidP="0068470C">
      <w:pPr>
        <w:pStyle w:val="EndnoteText"/>
        <w:rPr>
          <w:sz w:val="24"/>
          <w:szCs w:val="24"/>
        </w:rPr>
      </w:pPr>
      <w:r w:rsidRPr="002964C4">
        <w:rPr>
          <w:rStyle w:val="EndnoteReference"/>
          <w:sz w:val="24"/>
          <w:szCs w:val="24"/>
        </w:rPr>
        <w:endnoteRef/>
      </w:r>
      <w:r w:rsidRPr="002964C4">
        <w:rPr>
          <w:sz w:val="24"/>
          <w:szCs w:val="24"/>
        </w:rPr>
        <w:t xml:space="preserve"> Components of FWD are from World Bank 2012a, GFDD, and are based on Cihac et al 2012.  Data for CWI and FWFX are from Lane and Milesi-Ferret</w:t>
      </w:r>
      <w:r w:rsidR="00D44833">
        <w:rPr>
          <w:sz w:val="24"/>
          <w:szCs w:val="24"/>
        </w:rPr>
        <w:t>t</w:t>
      </w:r>
      <w:r w:rsidRPr="002964C4">
        <w:rPr>
          <w:sz w:val="24"/>
          <w:szCs w:val="24"/>
        </w:rPr>
        <w:t>i 2007.</w:t>
      </w:r>
    </w:p>
  </w:endnote>
  <w:endnote w:id="6">
    <w:p w:rsidR="002964C4" w:rsidRPr="002964C4" w:rsidRDefault="002964C4" w:rsidP="00D8648A">
      <w:pPr>
        <w:pStyle w:val="EndnoteText"/>
        <w:rPr>
          <w:sz w:val="24"/>
          <w:szCs w:val="24"/>
        </w:rPr>
      </w:pPr>
      <w:r w:rsidRPr="002964C4">
        <w:rPr>
          <w:rStyle w:val="EndnoteReference"/>
          <w:sz w:val="24"/>
          <w:szCs w:val="24"/>
        </w:rPr>
        <w:endnoteRef/>
      </w:r>
      <w:r w:rsidRPr="002964C4">
        <w:rPr>
          <w:sz w:val="24"/>
          <w:szCs w:val="24"/>
        </w:rPr>
        <w:t xml:space="preserve"> Components of MSIF are from Lane and Milesi-Ferret</w:t>
      </w:r>
      <w:r w:rsidR="00D44833">
        <w:rPr>
          <w:sz w:val="24"/>
          <w:szCs w:val="24"/>
        </w:rPr>
        <w:t>t</w:t>
      </w:r>
      <w:r w:rsidRPr="002964C4">
        <w:rPr>
          <w:sz w:val="24"/>
          <w:szCs w:val="24"/>
        </w:rPr>
        <w:t>i 2007. CDSR is from IMF 2012a, COFER.</w:t>
      </w:r>
    </w:p>
  </w:endnote>
  <w:endnote w:id="7">
    <w:p w:rsidR="002964C4" w:rsidRPr="002964C4" w:rsidRDefault="002964C4" w:rsidP="00D8648A">
      <w:pPr>
        <w:pStyle w:val="EndnoteText"/>
        <w:rPr>
          <w:sz w:val="24"/>
          <w:szCs w:val="24"/>
        </w:rPr>
      </w:pPr>
      <w:r w:rsidRPr="002964C4">
        <w:rPr>
          <w:rStyle w:val="EndnoteReference"/>
          <w:sz w:val="24"/>
          <w:szCs w:val="24"/>
        </w:rPr>
        <w:endnoteRef/>
      </w:r>
      <w:r w:rsidRPr="002964C4">
        <w:rPr>
          <w:sz w:val="24"/>
          <w:szCs w:val="24"/>
        </w:rPr>
        <w:t xml:space="preserve"> This result is due to the fact that all intra-eurozone trade (shown in the indicators TST and CAS) shows up as international trade, while the same is not true of intra-U.S. trade.</w:t>
      </w:r>
    </w:p>
  </w:endnote>
  <w:endnote w:id="8">
    <w:p w:rsidR="002964C4" w:rsidRPr="002964C4" w:rsidRDefault="002964C4" w:rsidP="00E012B0">
      <w:pPr>
        <w:pStyle w:val="EndnoteText"/>
        <w:rPr>
          <w:sz w:val="24"/>
          <w:szCs w:val="24"/>
        </w:rPr>
      </w:pPr>
      <w:r w:rsidRPr="002964C4">
        <w:rPr>
          <w:rStyle w:val="EndnoteReference"/>
          <w:sz w:val="24"/>
          <w:szCs w:val="24"/>
        </w:rPr>
        <w:endnoteRef/>
      </w:r>
      <w:r w:rsidRPr="002964C4">
        <w:rPr>
          <w:sz w:val="24"/>
          <w:szCs w:val="24"/>
        </w:rPr>
        <w:t xml:space="preserve"> In 2012 Japan’s gross domestic public debt was 237 percent, and net debt 135 percent, of GDP (IMF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010935"/>
      <w:docPartObj>
        <w:docPartGallery w:val="Page Numbers (Bottom of Page)"/>
        <w:docPartUnique/>
      </w:docPartObj>
    </w:sdtPr>
    <w:sdtEndPr>
      <w:rPr>
        <w:noProof/>
      </w:rPr>
    </w:sdtEndPr>
    <w:sdtContent>
      <w:p w:rsidR="00C621B0" w:rsidRDefault="00C621B0">
        <w:pPr>
          <w:pStyle w:val="Footer"/>
          <w:jc w:val="center"/>
        </w:pPr>
        <w:r>
          <w:fldChar w:fldCharType="begin"/>
        </w:r>
        <w:r>
          <w:instrText xml:space="preserve"> PAGE   \* MERGEFORMAT </w:instrText>
        </w:r>
        <w:r>
          <w:fldChar w:fldCharType="separate"/>
        </w:r>
        <w:r w:rsidR="0093790C">
          <w:rPr>
            <w:noProof/>
          </w:rPr>
          <w:t>19</w:t>
        </w:r>
        <w:r>
          <w:rPr>
            <w:noProof/>
          </w:rPr>
          <w:fldChar w:fldCharType="end"/>
        </w:r>
      </w:p>
    </w:sdtContent>
  </w:sdt>
  <w:p w:rsidR="00C621B0" w:rsidRDefault="00C62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3091"/>
      <w:docPartObj>
        <w:docPartGallery w:val="Page Numbers (Bottom of Page)"/>
        <w:docPartUnique/>
      </w:docPartObj>
    </w:sdtPr>
    <w:sdtEndPr>
      <w:rPr>
        <w:noProof/>
      </w:rPr>
    </w:sdtEndPr>
    <w:sdtContent>
      <w:p w:rsidR="00D60654" w:rsidRDefault="00D60654">
        <w:pPr>
          <w:pStyle w:val="Footer"/>
          <w:jc w:val="center"/>
        </w:pPr>
        <w:r>
          <w:fldChar w:fldCharType="begin"/>
        </w:r>
        <w:r>
          <w:instrText xml:space="preserve"> PAGE   \* MERGEFORMAT </w:instrText>
        </w:r>
        <w:r>
          <w:fldChar w:fldCharType="separate"/>
        </w:r>
        <w:r w:rsidR="0002311A">
          <w:rPr>
            <w:noProof/>
          </w:rPr>
          <w:t>26</w:t>
        </w:r>
        <w:r>
          <w:rPr>
            <w:noProof/>
          </w:rPr>
          <w:fldChar w:fldCharType="end"/>
        </w:r>
      </w:p>
    </w:sdtContent>
  </w:sdt>
  <w:p w:rsidR="00D60654" w:rsidRDefault="00D606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804208"/>
      <w:docPartObj>
        <w:docPartGallery w:val="Page Numbers (Bottom of Page)"/>
        <w:docPartUnique/>
      </w:docPartObj>
    </w:sdtPr>
    <w:sdtEndPr>
      <w:rPr>
        <w:noProof/>
      </w:rPr>
    </w:sdtEndPr>
    <w:sdtContent>
      <w:p w:rsidR="00D60654" w:rsidRDefault="00D60654">
        <w:pPr>
          <w:pStyle w:val="Footer"/>
          <w:jc w:val="center"/>
        </w:pPr>
        <w:r>
          <w:fldChar w:fldCharType="begin"/>
        </w:r>
        <w:r>
          <w:instrText xml:space="preserve"> PAGE   \* MERGEFORMAT </w:instrText>
        </w:r>
        <w:r>
          <w:fldChar w:fldCharType="separate"/>
        </w:r>
        <w:r w:rsidR="0093790C">
          <w:rPr>
            <w:noProof/>
          </w:rPr>
          <w:t>20</w:t>
        </w:r>
        <w:r>
          <w:rPr>
            <w:noProof/>
          </w:rPr>
          <w:fldChar w:fldCharType="end"/>
        </w:r>
      </w:p>
    </w:sdtContent>
  </w:sdt>
  <w:p w:rsidR="00D60654" w:rsidRDefault="00D60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151" w:rsidRDefault="00E80151" w:rsidP="00884F2A">
      <w:r>
        <w:separator/>
      </w:r>
    </w:p>
  </w:footnote>
  <w:footnote w:type="continuationSeparator" w:id="0">
    <w:p w:rsidR="00E80151" w:rsidRDefault="00E80151" w:rsidP="00884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496"/>
    <w:multiLevelType w:val="multilevel"/>
    <w:tmpl w:val="EAB6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DE4C55"/>
    <w:multiLevelType w:val="multilevel"/>
    <w:tmpl w:val="504E2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32556E"/>
    <w:multiLevelType w:val="hybridMultilevel"/>
    <w:tmpl w:val="DCAE98B8"/>
    <w:lvl w:ilvl="0" w:tplc="505A0BD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37"/>
    <w:rsid w:val="0000442A"/>
    <w:rsid w:val="00017FB6"/>
    <w:rsid w:val="0002311A"/>
    <w:rsid w:val="000252D9"/>
    <w:rsid w:val="00025A7B"/>
    <w:rsid w:val="00030446"/>
    <w:rsid w:val="00034BCB"/>
    <w:rsid w:val="000406C0"/>
    <w:rsid w:val="0004154F"/>
    <w:rsid w:val="00045DBC"/>
    <w:rsid w:val="00047E31"/>
    <w:rsid w:val="00052A53"/>
    <w:rsid w:val="00053D5A"/>
    <w:rsid w:val="00054FAA"/>
    <w:rsid w:val="00055B81"/>
    <w:rsid w:val="0005679C"/>
    <w:rsid w:val="00056D53"/>
    <w:rsid w:val="0006037B"/>
    <w:rsid w:val="00060456"/>
    <w:rsid w:val="00061C8A"/>
    <w:rsid w:val="00075315"/>
    <w:rsid w:val="0008256B"/>
    <w:rsid w:val="00083762"/>
    <w:rsid w:val="00083985"/>
    <w:rsid w:val="00084891"/>
    <w:rsid w:val="00085FEC"/>
    <w:rsid w:val="00086F8D"/>
    <w:rsid w:val="00096005"/>
    <w:rsid w:val="000A029F"/>
    <w:rsid w:val="000A1221"/>
    <w:rsid w:val="000A20FC"/>
    <w:rsid w:val="000A3057"/>
    <w:rsid w:val="000A53DA"/>
    <w:rsid w:val="000A5851"/>
    <w:rsid w:val="000B53A3"/>
    <w:rsid w:val="000B66C9"/>
    <w:rsid w:val="000C2262"/>
    <w:rsid w:val="000C7708"/>
    <w:rsid w:val="000D0FD4"/>
    <w:rsid w:val="000D1CBD"/>
    <w:rsid w:val="000D7B34"/>
    <w:rsid w:val="000E034D"/>
    <w:rsid w:val="000E1AE9"/>
    <w:rsid w:val="000E3F44"/>
    <w:rsid w:val="000E442E"/>
    <w:rsid w:val="000E45FA"/>
    <w:rsid w:val="000E4A65"/>
    <w:rsid w:val="000E63EE"/>
    <w:rsid w:val="000F3E2B"/>
    <w:rsid w:val="000F5B14"/>
    <w:rsid w:val="00103B15"/>
    <w:rsid w:val="00104989"/>
    <w:rsid w:val="00104BA9"/>
    <w:rsid w:val="00107637"/>
    <w:rsid w:val="00111825"/>
    <w:rsid w:val="0011574F"/>
    <w:rsid w:val="00120064"/>
    <w:rsid w:val="00120769"/>
    <w:rsid w:val="00123783"/>
    <w:rsid w:val="00124B63"/>
    <w:rsid w:val="0012584D"/>
    <w:rsid w:val="001270B6"/>
    <w:rsid w:val="00134064"/>
    <w:rsid w:val="00134E87"/>
    <w:rsid w:val="001426A6"/>
    <w:rsid w:val="00150075"/>
    <w:rsid w:val="001502FD"/>
    <w:rsid w:val="00160928"/>
    <w:rsid w:val="00164688"/>
    <w:rsid w:val="00164FD6"/>
    <w:rsid w:val="00165B22"/>
    <w:rsid w:val="0016612B"/>
    <w:rsid w:val="00167A10"/>
    <w:rsid w:val="0017006E"/>
    <w:rsid w:val="00173FF2"/>
    <w:rsid w:val="001767D4"/>
    <w:rsid w:val="00176D86"/>
    <w:rsid w:val="00176E6D"/>
    <w:rsid w:val="00184A9A"/>
    <w:rsid w:val="00185976"/>
    <w:rsid w:val="0018694B"/>
    <w:rsid w:val="00194B22"/>
    <w:rsid w:val="001A301A"/>
    <w:rsid w:val="001A7EB8"/>
    <w:rsid w:val="001B053A"/>
    <w:rsid w:val="001B2D8D"/>
    <w:rsid w:val="001B460B"/>
    <w:rsid w:val="001C1196"/>
    <w:rsid w:val="001C159F"/>
    <w:rsid w:val="001C50EB"/>
    <w:rsid w:val="001D0FC5"/>
    <w:rsid w:val="001D2DF7"/>
    <w:rsid w:val="001D37F2"/>
    <w:rsid w:val="001D3ACD"/>
    <w:rsid w:val="001D79F9"/>
    <w:rsid w:val="001D7A4F"/>
    <w:rsid w:val="001E06A6"/>
    <w:rsid w:val="001E331F"/>
    <w:rsid w:val="001E46DE"/>
    <w:rsid w:val="001E4CF3"/>
    <w:rsid w:val="001E7BA7"/>
    <w:rsid w:val="001F1D60"/>
    <w:rsid w:val="001F3CFD"/>
    <w:rsid w:val="00201677"/>
    <w:rsid w:val="00201E93"/>
    <w:rsid w:val="00210E21"/>
    <w:rsid w:val="002126DB"/>
    <w:rsid w:val="002127D7"/>
    <w:rsid w:val="00213396"/>
    <w:rsid w:val="002175CF"/>
    <w:rsid w:val="00220E2F"/>
    <w:rsid w:val="00220F37"/>
    <w:rsid w:val="00222FA3"/>
    <w:rsid w:val="0022319A"/>
    <w:rsid w:val="0022326B"/>
    <w:rsid w:val="00236E8B"/>
    <w:rsid w:val="00240AAB"/>
    <w:rsid w:val="00241ADB"/>
    <w:rsid w:val="00246251"/>
    <w:rsid w:val="00246ABC"/>
    <w:rsid w:val="00247448"/>
    <w:rsid w:val="00250EF6"/>
    <w:rsid w:val="0025301C"/>
    <w:rsid w:val="00253E3F"/>
    <w:rsid w:val="00254164"/>
    <w:rsid w:val="00265040"/>
    <w:rsid w:val="0026604A"/>
    <w:rsid w:val="00270BA4"/>
    <w:rsid w:val="00272DFA"/>
    <w:rsid w:val="002842AC"/>
    <w:rsid w:val="0028529D"/>
    <w:rsid w:val="0028532C"/>
    <w:rsid w:val="002913E5"/>
    <w:rsid w:val="00291E81"/>
    <w:rsid w:val="002964C4"/>
    <w:rsid w:val="002A2F48"/>
    <w:rsid w:val="002A62CF"/>
    <w:rsid w:val="002B25B4"/>
    <w:rsid w:val="002C0D8A"/>
    <w:rsid w:val="002C3017"/>
    <w:rsid w:val="002C44D9"/>
    <w:rsid w:val="002C542C"/>
    <w:rsid w:val="002D0AD3"/>
    <w:rsid w:val="002D0C35"/>
    <w:rsid w:val="002D38B9"/>
    <w:rsid w:val="002D3AF2"/>
    <w:rsid w:val="002E07F5"/>
    <w:rsid w:val="002E269A"/>
    <w:rsid w:val="002E30D5"/>
    <w:rsid w:val="002E422A"/>
    <w:rsid w:val="002E64DD"/>
    <w:rsid w:val="002F1B79"/>
    <w:rsid w:val="002F791B"/>
    <w:rsid w:val="003026C8"/>
    <w:rsid w:val="00302711"/>
    <w:rsid w:val="00312A1F"/>
    <w:rsid w:val="0031689B"/>
    <w:rsid w:val="00316F55"/>
    <w:rsid w:val="003178ED"/>
    <w:rsid w:val="00321535"/>
    <w:rsid w:val="00333267"/>
    <w:rsid w:val="00333AFB"/>
    <w:rsid w:val="003356DB"/>
    <w:rsid w:val="003419E2"/>
    <w:rsid w:val="003445A8"/>
    <w:rsid w:val="00345112"/>
    <w:rsid w:val="0034533F"/>
    <w:rsid w:val="00345B25"/>
    <w:rsid w:val="00345FC9"/>
    <w:rsid w:val="00347473"/>
    <w:rsid w:val="00363E41"/>
    <w:rsid w:val="003640B7"/>
    <w:rsid w:val="0036631A"/>
    <w:rsid w:val="00366DA1"/>
    <w:rsid w:val="00367BB1"/>
    <w:rsid w:val="00371299"/>
    <w:rsid w:val="00371B5A"/>
    <w:rsid w:val="00381F1F"/>
    <w:rsid w:val="00390F0E"/>
    <w:rsid w:val="003911E2"/>
    <w:rsid w:val="00395798"/>
    <w:rsid w:val="003A0C1D"/>
    <w:rsid w:val="003A0D6B"/>
    <w:rsid w:val="003A253E"/>
    <w:rsid w:val="003B1CD4"/>
    <w:rsid w:val="003B52CB"/>
    <w:rsid w:val="003B7BD8"/>
    <w:rsid w:val="003C0C3B"/>
    <w:rsid w:val="003C22F4"/>
    <w:rsid w:val="003C39D9"/>
    <w:rsid w:val="003C65EF"/>
    <w:rsid w:val="003C6FB6"/>
    <w:rsid w:val="003D0E53"/>
    <w:rsid w:val="003D4C5E"/>
    <w:rsid w:val="003D7AA4"/>
    <w:rsid w:val="003F1B81"/>
    <w:rsid w:val="003F42D1"/>
    <w:rsid w:val="003F512A"/>
    <w:rsid w:val="003F5F2E"/>
    <w:rsid w:val="003F6A6D"/>
    <w:rsid w:val="00404165"/>
    <w:rsid w:val="00406152"/>
    <w:rsid w:val="004075D0"/>
    <w:rsid w:val="0041028B"/>
    <w:rsid w:val="004139A8"/>
    <w:rsid w:val="004159A2"/>
    <w:rsid w:val="00416F5D"/>
    <w:rsid w:val="004176AA"/>
    <w:rsid w:val="004178F9"/>
    <w:rsid w:val="00417A8B"/>
    <w:rsid w:val="00422983"/>
    <w:rsid w:val="004324EE"/>
    <w:rsid w:val="004328D9"/>
    <w:rsid w:val="0043391D"/>
    <w:rsid w:val="0043599D"/>
    <w:rsid w:val="00441745"/>
    <w:rsid w:val="00442604"/>
    <w:rsid w:val="004442F8"/>
    <w:rsid w:val="00447619"/>
    <w:rsid w:val="004524FE"/>
    <w:rsid w:val="004526CA"/>
    <w:rsid w:val="00455112"/>
    <w:rsid w:val="0045704A"/>
    <w:rsid w:val="00460B91"/>
    <w:rsid w:val="0046259E"/>
    <w:rsid w:val="004714C4"/>
    <w:rsid w:val="00474940"/>
    <w:rsid w:val="004749BC"/>
    <w:rsid w:val="00477443"/>
    <w:rsid w:val="0048072B"/>
    <w:rsid w:val="004813F5"/>
    <w:rsid w:val="004907A4"/>
    <w:rsid w:val="0049370C"/>
    <w:rsid w:val="0049386B"/>
    <w:rsid w:val="0049611B"/>
    <w:rsid w:val="004A18E6"/>
    <w:rsid w:val="004A2283"/>
    <w:rsid w:val="004A2B3A"/>
    <w:rsid w:val="004B4B8C"/>
    <w:rsid w:val="004B715F"/>
    <w:rsid w:val="004B753B"/>
    <w:rsid w:val="004C0E02"/>
    <w:rsid w:val="004C780F"/>
    <w:rsid w:val="004D01DF"/>
    <w:rsid w:val="004D2898"/>
    <w:rsid w:val="004D47FB"/>
    <w:rsid w:val="004D5D00"/>
    <w:rsid w:val="004D6EC8"/>
    <w:rsid w:val="004E4741"/>
    <w:rsid w:val="004F3849"/>
    <w:rsid w:val="004F3D8D"/>
    <w:rsid w:val="00500DF9"/>
    <w:rsid w:val="005017D1"/>
    <w:rsid w:val="00501BD5"/>
    <w:rsid w:val="005108E0"/>
    <w:rsid w:val="00512CD3"/>
    <w:rsid w:val="005204E7"/>
    <w:rsid w:val="0052152F"/>
    <w:rsid w:val="005251D3"/>
    <w:rsid w:val="00525623"/>
    <w:rsid w:val="00530AA5"/>
    <w:rsid w:val="005329C2"/>
    <w:rsid w:val="00534F76"/>
    <w:rsid w:val="00540925"/>
    <w:rsid w:val="00551B30"/>
    <w:rsid w:val="00552127"/>
    <w:rsid w:val="005556D5"/>
    <w:rsid w:val="00555DA8"/>
    <w:rsid w:val="0055715A"/>
    <w:rsid w:val="005602CD"/>
    <w:rsid w:val="005606A7"/>
    <w:rsid w:val="005606D9"/>
    <w:rsid w:val="005631CB"/>
    <w:rsid w:val="00563ED4"/>
    <w:rsid w:val="0057096E"/>
    <w:rsid w:val="00572797"/>
    <w:rsid w:val="00574265"/>
    <w:rsid w:val="00575261"/>
    <w:rsid w:val="0058511D"/>
    <w:rsid w:val="00586746"/>
    <w:rsid w:val="00587592"/>
    <w:rsid w:val="005909AD"/>
    <w:rsid w:val="0059544B"/>
    <w:rsid w:val="0059689D"/>
    <w:rsid w:val="00597D48"/>
    <w:rsid w:val="005B0D3E"/>
    <w:rsid w:val="005B41C5"/>
    <w:rsid w:val="005B67B0"/>
    <w:rsid w:val="005C2632"/>
    <w:rsid w:val="005C5DA8"/>
    <w:rsid w:val="005D79A3"/>
    <w:rsid w:val="005E01F7"/>
    <w:rsid w:val="005E73B8"/>
    <w:rsid w:val="005F7108"/>
    <w:rsid w:val="00606DD8"/>
    <w:rsid w:val="0060751B"/>
    <w:rsid w:val="0061146C"/>
    <w:rsid w:val="00612F1F"/>
    <w:rsid w:val="00621D7B"/>
    <w:rsid w:val="00632834"/>
    <w:rsid w:val="00636C80"/>
    <w:rsid w:val="00637CFD"/>
    <w:rsid w:val="00641286"/>
    <w:rsid w:val="00642346"/>
    <w:rsid w:val="00650595"/>
    <w:rsid w:val="00652936"/>
    <w:rsid w:val="00654AFC"/>
    <w:rsid w:val="00657663"/>
    <w:rsid w:val="00661BE5"/>
    <w:rsid w:val="0066246F"/>
    <w:rsid w:val="00662577"/>
    <w:rsid w:val="00662E91"/>
    <w:rsid w:val="00666914"/>
    <w:rsid w:val="00667186"/>
    <w:rsid w:val="00671547"/>
    <w:rsid w:val="00676685"/>
    <w:rsid w:val="00676982"/>
    <w:rsid w:val="00681078"/>
    <w:rsid w:val="006828AE"/>
    <w:rsid w:val="0068470C"/>
    <w:rsid w:val="006855D5"/>
    <w:rsid w:val="00691EA3"/>
    <w:rsid w:val="00692B4C"/>
    <w:rsid w:val="0069541A"/>
    <w:rsid w:val="0069555D"/>
    <w:rsid w:val="006A37CB"/>
    <w:rsid w:val="006A456A"/>
    <w:rsid w:val="006A5823"/>
    <w:rsid w:val="006A745A"/>
    <w:rsid w:val="006B5F84"/>
    <w:rsid w:val="006C67AB"/>
    <w:rsid w:val="006C7D66"/>
    <w:rsid w:val="006D366C"/>
    <w:rsid w:val="006D6EAB"/>
    <w:rsid w:val="006E12FD"/>
    <w:rsid w:val="006E4514"/>
    <w:rsid w:val="006E6C06"/>
    <w:rsid w:val="006F61DC"/>
    <w:rsid w:val="007001BC"/>
    <w:rsid w:val="007018A7"/>
    <w:rsid w:val="00702BAB"/>
    <w:rsid w:val="0070738D"/>
    <w:rsid w:val="00707D33"/>
    <w:rsid w:val="00707E0F"/>
    <w:rsid w:val="007104C0"/>
    <w:rsid w:val="007157E8"/>
    <w:rsid w:val="00717100"/>
    <w:rsid w:val="00717CB6"/>
    <w:rsid w:val="00725CB1"/>
    <w:rsid w:val="007264D8"/>
    <w:rsid w:val="007325EC"/>
    <w:rsid w:val="0073604D"/>
    <w:rsid w:val="0073622C"/>
    <w:rsid w:val="0074453D"/>
    <w:rsid w:val="00744610"/>
    <w:rsid w:val="00744E27"/>
    <w:rsid w:val="00751132"/>
    <w:rsid w:val="007545D6"/>
    <w:rsid w:val="0075478C"/>
    <w:rsid w:val="00756FC9"/>
    <w:rsid w:val="00762EC0"/>
    <w:rsid w:val="0076758B"/>
    <w:rsid w:val="00772D66"/>
    <w:rsid w:val="007741ED"/>
    <w:rsid w:val="007817D5"/>
    <w:rsid w:val="00784EEC"/>
    <w:rsid w:val="00790D24"/>
    <w:rsid w:val="00796639"/>
    <w:rsid w:val="007A2124"/>
    <w:rsid w:val="007A595F"/>
    <w:rsid w:val="007A7134"/>
    <w:rsid w:val="007B0AB7"/>
    <w:rsid w:val="007B571E"/>
    <w:rsid w:val="007B5BD9"/>
    <w:rsid w:val="007B6775"/>
    <w:rsid w:val="007B757E"/>
    <w:rsid w:val="007C0CBC"/>
    <w:rsid w:val="007C2E67"/>
    <w:rsid w:val="007C3ED5"/>
    <w:rsid w:val="007C3FF7"/>
    <w:rsid w:val="007D0481"/>
    <w:rsid w:val="007D25D3"/>
    <w:rsid w:val="007D391E"/>
    <w:rsid w:val="007D5C33"/>
    <w:rsid w:val="007D6A7F"/>
    <w:rsid w:val="007D7932"/>
    <w:rsid w:val="007E2DE5"/>
    <w:rsid w:val="007E33B9"/>
    <w:rsid w:val="007E33D3"/>
    <w:rsid w:val="007E7268"/>
    <w:rsid w:val="007E7AA6"/>
    <w:rsid w:val="007F2317"/>
    <w:rsid w:val="007F519A"/>
    <w:rsid w:val="007F595E"/>
    <w:rsid w:val="007F6007"/>
    <w:rsid w:val="0080066A"/>
    <w:rsid w:val="00805C5F"/>
    <w:rsid w:val="00810FEB"/>
    <w:rsid w:val="008112BE"/>
    <w:rsid w:val="00811B9C"/>
    <w:rsid w:val="008123D6"/>
    <w:rsid w:val="0081325D"/>
    <w:rsid w:val="00814FE2"/>
    <w:rsid w:val="0081571D"/>
    <w:rsid w:val="00816D63"/>
    <w:rsid w:val="00817810"/>
    <w:rsid w:val="00824B1A"/>
    <w:rsid w:val="00825C00"/>
    <w:rsid w:val="00830BF3"/>
    <w:rsid w:val="00834E7D"/>
    <w:rsid w:val="0085770B"/>
    <w:rsid w:val="00860C31"/>
    <w:rsid w:val="008654E2"/>
    <w:rsid w:val="00866532"/>
    <w:rsid w:val="0088374F"/>
    <w:rsid w:val="00884F2A"/>
    <w:rsid w:val="0088635A"/>
    <w:rsid w:val="008866AB"/>
    <w:rsid w:val="008932F3"/>
    <w:rsid w:val="00897842"/>
    <w:rsid w:val="008A0AB7"/>
    <w:rsid w:val="008A0C5A"/>
    <w:rsid w:val="008A3C37"/>
    <w:rsid w:val="008B0CAD"/>
    <w:rsid w:val="008B7F97"/>
    <w:rsid w:val="008C15A6"/>
    <w:rsid w:val="008C5380"/>
    <w:rsid w:val="008C5A3B"/>
    <w:rsid w:val="008D04C1"/>
    <w:rsid w:val="008D5540"/>
    <w:rsid w:val="008E0E23"/>
    <w:rsid w:val="008E7AB5"/>
    <w:rsid w:val="008F4D4E"/>
    <w:rsid w:val="008F5A1F"/>
    <w:rsid w:val="00903D5D"/>
    <w:rsid w:val="009049A4"/>
    <w:rsid w:val="00905ACF"/>
    <w:rsid w:val="00913205"/>
    <w:rsid w:val="009142EA"/>
    <w:rsid w:val="00917266"/>
    <w:rsid w:val="009230B3"/>
    <w:rsid w:val="00925FC6"/>
    <w:rsid w:val="00927726"/>
    <w:rsid w:val="009331A4"/>
    <w:rsid w:val="0093790C"/>
    <w:rsid w:val="00941CC5"/>
    <w:rsid w:val="00944018"/>
    <w:rsid w:val="00952620"/>
    <w:rsid w:val="0095742B"/>
    <w:rsid w:val="00957628"/>
    <w:rsid w:val="00965533"/>
    <w:rsid w:val="0097299C"/>
    <w:rsid w:val="00972CAE"/>
    <w:rsid w:val="00974254"/>
    <w:rsid w:val="009749A1"/>
    <w:rsid w:val="0098104B"/>
    <w:rsid w:val="009817CE"/>
    <w:rsid w:val="00981F18"/>
    <w:rsid w:val="009878D8"/>
    <w:rsid w:val="009936CE"/>
    <w:rsid w:val="0099615F"/>
    <w:rsid w:val="009A5A1D"/>
    <w:rsid w:val="009A7BF3"/>
    <w:rsid w:val="009B0243"/>
    <w:rsid w:val="009B20F1"/>
    <w:rsid w:val="009B3174"/>
    <w:rsid w:val="009B36B3"/>
    <w:rsid w:val="009B600C"/>
    <w:rsid w:val="009C2652"/>
    <w:rsid w:val="009C2C8B"/>
    <w:rsid w:val="009E24A5"/>
    <w:rsid w:val="009E4AFF"/>
    <w:rsid w:val="009F4DC4"/>
    <w:rsid w:val="009F5E4D"/>
    <w:rsid w:val="00A04BB0"/>
    <w:rsid w:val="00A059BE"/>
    <w:rsid w:val="00A05B4C"/>
    <w:rsid w:val="00A05DCC"/>
    <w:rsid w:val="00A05EA0"/>
    <w:rsid w:val="00A06116"/>
    <w:rsid w:val="00A065EE"/>
    <w:rsid w:val="00A06BA3"/>
    <w:rsid w:val="00A13EA1"/>
    <w:rsid w:val="00A14D37"/>
    <w:rsid w:val="00A15C10"/>
    <w:rsid w:val="00A2317A"/>
    <w:rsid w:val="00A24D6C"/>
    <w:rsid w:val="00A322EE"/>
    <w:rsid w:val="00A32FCD"/>
    <w:rsid w:val="00A362A5"/>
    <w:rsid w:val="00A45F4A"/>
    <w:rsid w:val="00A53B00"/>
    <w:rsid w:val="00A53D8B"/>
    <w:rsid w:val="00A5648D"/>
    <w:rsid w:val="00A57506"/>
    <w:rsid w:val="00A607A3"/>
    <w:rsid w:val="00A64060"/>
    <w:rsid w:val="00A6522A"/>
    <w:rsid w:val="00A6537D"/>
    <w:rsid w:val="00A67135"/>
    <w:rsid w:val="00A7111E"/>
    <w:rsid w:val="00A726FC"/>
    <w:rsid w:val="00A817BC"/>
    <w:rsid w:val="00A858AB"/>
    <w:rsid w:val="00A87663"/>
    <w:rsid w:val="00A9228D"/>
    <w:rsid w:val="00A92DF5"/>
    <w:rsid w:val="00A94E6B"/>
    <w:rsid w:val="00AA09B2"/>
    <w:rsid w:val="00AA2986"/>
    <w:rsid w:val="00AA3EB5"/>
    <w:rsid w:val="00AB2600"/>
    <w:rsid w:val="00AB5748"/>
    <w:rsid w:val="00AC00D8"/>
    <w:rsid w:val="00AC08B6"/>
    <w:rsid w:val="00AC20A8"/>
    <w:rsid w:val="00AC74F4"/>
    <w:rsid w:val="00AC7565"/>
    <w:rsid w:val="00AD1C36"/>
    <w:rsid w:val="00AD3A11"/>
    <w:rsid w:val="00AD72B0"/>
    <w:rsid w:val="00AE0D21"/>
    <w:rsid w:val="00AE2DBD"/>
    <w:rsid w:val="00AE5A77"/>
    <w:rsid w:val="00AF0CC3"/>
    <w:rsid w:val="00AF2129"/>
    <w:rsid w:val="00AF252B"/>
    <w:rsid w:val="00AF7D8B"/>
    <w:rsid w:val="00B05B50"/>
    <w:rsid w:val="00B064DB"/>
    <w:rsid w:val="00B06E22"/>
    <w:rsid w:val="00B10277"/>
    <w:rsid w:val="00B13E5C"/>
    <w:rsid w:val="00B14AE4"/>
    <w:rsid w:val="00B17A03"/>
    <w:rsid w:val="00B2252D"/>
    <w:rsid w:val="00B306B3"/>
    <w:rsid w:val="00B3113F"/>
    <w:rsid w:val="00B32899"/>
    <w:rsid w:val="00B40CF1"/>
    <w:rsid w:val="00B44CE1"/>
    <w:rsid w:val="00B4544F"/>
    <w:rsid w:val="00B45A59"/>
    <w:rsid w:val="00B47AA7"/>
    <w:rsid w:val="00B51B66"/>
    <w:rsid w:val="00B522EF"/>
    <w:rsid w:val="00B57475"/>
    <w:rsid w:val="00B64887"/>
    <w:rsid w:val="00B76AE6"/>
    <w:rsid w:val="00B84450"/>
    <w:rsid w:val="00B85F68"/>
    <w:rsid w:val="00B866F8"/>
    <w:rsid w:val="00B9003B"/>
    <w:rsid w:val="00B9034F"/>
    <w:rsid w:val="00B94801"/>
    <w:rsid w:val="00B94CB2"/>
    <w:rsid w:val="00B95C11"/>
    <w:rsid w:val="00BA1286"/>
    <w:rsid w:val="00BA32CE"/>
    <w:rsid w:val="00BA42F0"/>
    <w:rsid w:val="00BA6225"/>
    <w:rsid w:val="00BA653A"/>
    <w:rsid w:val="00BB115A"/>
    <w:rsid w:val="00BB1ECF"/>
    <w:rsid w:val="00BB3361"/>
    <w:rsid w:val="00BB6D5C"/>
    <w:rsid w:val="00BB70B0"/>
    <w:rsid w:val="00BC591F"/>
    <w:rsid w:val="00BC7502"/>
    <w:rsid w:val="00BD026D"/>
    <w:rsid w:val="00BD1C23"/>
    <w:rsid w:val="00BD392F"/>
    <w:rsid w:val="00BD3BB5"/>
    <w:rsid w:val="00BD5F80"/>
    <w:rsid w:val="00BE361E"/>
    <w:rsid w:val="00BE3FAC"/>
    <w:rsid w:val="00BE46C6"/>
    <w:rsid w:val="00BF4937"/>
    <w:rsid w:val="00BF5CA9"/>
    <w:rsid w:val="00BF6EF0"/>
    <w:rsid w:val="00C006FC"/>
    <w:rsid w:val="00C03637"/>
    <w:rsid w:val="00C06EF2"/>
    <w:rsid w:val="00C13F15"/>
    <w:rsid w:val="00C15C8C"/>
    <w:rsid w:val="00C2105B"/>
    <w:rsid w:val="00C22367"/>
    <w:rsid w:val="00C23355"/>
    <w:rsid w:val="00C23AA8"/>
    <w:rsid w:val="00C263ED"/>
    <w:rsid w:val="00C27826"/>
    <w:rsid w:val="00C27A36"/>
    <w:rsid w:val="00C32CE0"/>
    <w:rsid w:val="00C37540"/>
    <w:rsid w:val="00C427D6"/>
    <w:rsid w:val="00C45020"/>
    <w:rsid w:val="00C469F6"/>
    <w:rsid w:val="00C53231"/>
    <w:rsid w:val="00C5453F"/>
    <w:rsid w:val="00C61729"/>
    <w:rsid w:val="00C621B0"/>
    <w:rsid w:val="00C64E66"/>
    <w:rsid w:val="00C670B0"/>
    <w:rsid w:val="00C70930"/>
    <w:rsid w:val="00C716C0"/>
    <w:rsid w:val="00C74106"/>
    <w:rsid w:val="00C74D34"/>
    <w:rsid w:val="00C767F5"/>
    <w:rsid w:val="00C86820"/>
    <w:rsid w:val="00C868E5"/>
    <w:rsid w:val="00C86A86"/>
    <w:rsid w:val="00C905D0"/>
    <w:rsid w:val="00CB1085"/>
    <w:rsid w:val="00CB245A"/>
    <w:rsid w:val="00CB7934"/>
    <w:rsid w:val="00CC20CD"/>
    <w:rsid w:val="00CC7973"/>
    <w:rsid w:val="00CD0DCB"/>
    <w:rsid w:val="00CD2C30"/>
    <w:rsid w:val="00CD34D7"/>
    <w:rsid w:val="00CD6249"/>
    <w:rsid w:val="00CE0B57"/>
    <w:rsid w:val="00CE2B46"/>
    <w:rsid w:val="00CE7BED"/>
    <w:rsid w:val="00D04B8C"/>
    <w:rsid w:val="00D05704"/>
    <w:rsid w:val="00D068CC"/>
    <w:rsid w:val="00D1158A"/>
    <w:rsid w:val="00D12ED3"/>
    <w:rsid w:val="00D15FFA"/>
    <w:rsid w:val="00D20A4F"/>
    <w:rsid w:val="00D21028"/>
    <w:rsid w:val="00D213A9"/>
    <w:rsid w:val="00D21F51"/>
    <w:rsid w:val="00D25092"/>
    <w:rsid w:val="00D2633A"/>
    <w:rsid w:val="00D27A56"/>
    <w:rsid w:val="00D32293"/>
    <w:rsid w:val="00D339CF"/>
    <w:rsid w:val="00D35542"/>
    <w:rsid w:val="00D44833"/>
    <w:rsid w:val="00D460FC"/>
    <w:rsid w:val="00D511F3"/>
    <w:rsid w:val="00D53EC1"/>
    <w:rsid w:val="00D60654"/>
    <w:rsid w:val="00D619ED"/>
    <w:rsid w:val="00D61FB6"/>
    <w:rsid w:val="00D62E35"/>
    <w:rsid w:val="00D639B7"/>
    <w:rsid w:val="00D65023"/>
    <w:rsid w:val="00D65739"/>
    <w:rsid w:val="00D729AA"/>
    <w:rsid w:val="00D75C2A"/>
    <w:rsid w:val="00D851C9"/>
    <w:rsid w:val="00D8648A"/>
    <w:rsid w:val="00D87EED"/>
    <w:rsid w:val="00D94B90"/>
    <w:rsid w:val="00D94BDE"/>
    <w:rsid w:val="00D9596B"/>
    <w:rsid w:val="00D95A51"/>
    <w:rsid w:val="00D960E0"/>
    <w:rsid w:val="00DA48C1"/>
    <w:rsid w:val="00DB15D5"/>
    <w:rsid w:val="00DB3502"/>
    <w:rsid w:val="00DB37DC"/>
    <w:rsid w:val="00DB6079"/>
    <w:rsid w:val="00DC0A33"/>
    <w:rsid w:val="00DC639C"/>
    <w:rsid w:val="00DD22DA"/>
    <w:rsid w:val="00DD526C"/>
    <w:rsid w:val="00DE23F4"/>
    <w:rsid w:val="00DE714D"/>
    <w:rsid w:val="00DF0756"/>
    <w:rsid w:val="00DF1369"/>
    <w:rsid w:val="00DF36A6"/>
    <w:rsid w:val="00DF61B1"/>
    <w:rsid w:val="00DF76B8"/>
    <w:rsid w:val="00DF7D39"/>
    <w:rsid w:val="00E0069E"/>
    <w:rsid w:val="00E012B0"/>
    <w:rsid w:val="00E01C1D"/>
    <w:rsid w:val="00E04EC1"/>
    <w:rsid w:val="00E1409A"/>
    <w:rsid w:val="00E14525"/>
    <w:rsid w:val="00E14EC9"/>
    <w:rsid w:val="00E16DB0"/>
    <w:rsid w:val="00E21A14"/>
    <w:rsid w:val="00E221C7"/>
    <w:rsid w:val="00E23E83"/>
    <w:rsid w:val="00E2440E"/>
    <w:rsid w:val="00E26753"/>
    <w:rsid w:val="00E273EF"/>
    <w:rsid w:val="00E40847"/>
    <w:rsid w:val="00E41721"/>
    <w:rsid w:val="00E4436B"/>
    <w:rsid w:val="00E477B9"/>
    <w:rsid w:val="00E60FD1"/>
    <w:rsid w:val="00E6707E"/>
    <w:rsid w:val="00E717C2"/>
    <w:rsid w:val="00E7265C"/>
    <w:rsid w:val="00E75564"/>
    <w:rsid w:val="00E75B7E"/>
    <w:rsid w:val="00E80151"/>
    <w:rsid w:val="00E81099"/>
    <w:rsid w:val="00E82681"/>
    <w:rsid w:val="00E87E6A"/>
    <w:rsid w:val="00E91269"/>
    <w:rsid w:val="00E94357"/>
    <w:rsid w:val="00EA0B63"/>
    <w:rsid w:val="00EA3CBD"/>
    <w:rsid w:val="00EA67FC"/>
    <w:rsid w:val="00EC0E38"/>
    <w:rsid w:val="00EC120E"/>
    <w:rsid w:val="00EC1CD5"/>
    <w:rsid w:val="00EC2AA6"/>
    <w:rsid w:val="00EC354F"/>
    <w:rsid w:val="00EC4EB6"/>
    <w:rsid w:val="00EC6854"/>
    <w:rsid w:val="00ED275F"/>
    <w:rsid w:val="00ED4674"/>
    <w:rsid w:val="00ED4D92"/>
    <w:rsid w:val="00ED55D2"/>
    <w:rsid w:val="00EE0E89"/>
    <w:rsid w:val="00EE18F7"/>
    <w:rsid w:val="00EE3B8C"/>
    <w:rsid w:val="00EF3B31"/>
    <w:rsid w:val="00EF44AB"/>
    <w:rsid w:val="00F003B2"/>
    <w:rsid w:val="00F00411"/>
    <w:rsid w:val="00F00D6E"/>
    <w:rsid w:val="00F12B61"/>
    <w:rsid w:val="00F156D9"/>
    <w:rsid w:val="00F2057A"/>
    <w:rsid w:val="00F20BF7"/>
    <w:rsid w:val="00F2114B"/>
    <w:rsid w:val="00F22B83"/>
    <w:rsid w:val="00F22FB2"/>
    <w:rsid w:val="00F32FDF"/>
    <w:rsid w:val="00F355DF"/>
    <w:rsid w:val="00F36116"/>
    <w:rsid w:val="00F37646"/>
    <w:rsid w:val="00F41A75"/>
    <w:rsid w:val="00F42B65"/>
    <w:rsid w:val="00F44986"/>
    <w:rsid w:val="00F45678"/>
    <w:rsid w:val="00F514FF"/>
    <w:rsid w:val="00F51761"/>
    <w:rsid w:val="00F53BC6"/>
    <w:rsid w:val="00F55742"/>
    <w:rsid w:val="00F55C57"/>
    <w:rsid w:val="00F60DB8"/>
    <w:rsid w:val="00F6107E"/>
    <w:rsid w:val="00F625E2"/>
    <w:rsid w:val="00F64816"/>
    <w:rsid w:val="00F649EA"/>
    <w:rsid w:val="00F65DD9"/>
    <w:rsid w:val="00F66AE0"/>
    <w:rsid w:val="00F676FE"/>
    <w:rsid w:val="00F77B7D"/>
    <w:rsid w:val="00F80517"/>
    <w:rsid w:val="00F8101F"/>
    <w:rsid w:val="00F844D7"/>
    <w:rsid w:val="00F86944"/>
    <w:rsid w:val="00F879AD"/>
    <w:rsid w:val="00F963FB"/>
    <w:rsid w:val="00FA06E0"/>
    <w:rsid w:val="00FA21A2"/>
    <w:rsid w:val="00FA2B02"/>
    <w:rsid w:val="00FA49D7"/>
    <w:rsid w:val="00FA4A02"/>
    <w:rsid w:val="00FA50CC"/>
    <w:rsid w:val="00FA647B"/>
    <w:rsid w:val="00FB32F9"/>
    <w:rsid w:val="00FB672A"/>
    <w:rsid w:val="00FC06DC"/>
    <w:rsid w:val="00FC244A"/>
    <w:rsid w:val="00FD59D2"/>
    <w:rsid w:val="00FD61EB"/>
    <w:rsid w:val="00FE26BC"/>
    <w:rsid w:val="00FE39F8"/>
    <w:rsid w:val="00FE728B"/>
    <w:rsid w:val="00FF0FA7"/>
    <w:rsid w:val="00FF6418"/>
    <w:rsid w:val="00FF698D"/>
    <w:rsid w:val="00FF6DF4"/>
    <w:rsid w:val="00FF709E"/>
    <w:rsid w:val="00FF76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F2A"/>
    <w:pPr>
      <w:tabs>
        <w:tab w:val="center" w:pos="4680"/>
        <w:tab w:val="right" w:pos="9360"/>
      </w:tabs>
    </w:pPr>
  </w:style>
  <w:style w:type="character" w:customStyle="1" w:styleId="HeaderChar">
    <w:name w:val="Header Char"/>
    <w:basedOn w:val="DefaultParagraphFont"/>
    <w:link w:val="Header"/>
    <w:uiPriority w:val="99"/>
    <w:rsid w:val="00884F2A"/>
  </w:style>
  <w:style w:type="paragraph" w:styleId="Footer">
    <w:name w:val="footer"/>
    <w:basedOn w:val="Normal"/>
    <w:link w:val="FooterChar"/>
    <w:uiPriority w:val="99"/>
    <w:unhideWhenUsed/>
    <w:rsid w:val="00884F2A"/>
    <w:pPr>
      <w:tabs>
        <w:tab w:val="center" w:pos="4680"/>
        <w:tab w:val="right" w:pos="9360"/>
      </w:tabs>
    </w:pPr>
  </w:style>
  <w:style w:type="character" w:customStyle="1" w:styleId="FooterChar">
    <w:name w:val="Footer Char"/>
    <w:basedOn w:val="DefaultParagraphFont"/>
    <w:link w:val="Footer"/>
    <w:uiPriority w:val="99"/>
    <w:rsid w:val="00884F2A"/>
  </w:style>
  <w:style w:type="paragraph" w:styleId="FootnoteText">
    <w:name w:val="footnote text"/>
    <w:aliases w:val=" Char"/>
    <w:basedOn w:val="Normal"/>
    <w:link w:val="FootnoteTextChar"/>
    <w:semiHidden/>
    <w:unhideWhenUsed/>
    <w:rsid w:val="00291E81"/>
    <w:rPr>
      <w:sz w:val="20"/>
      <w:szCs w:val="20"/>
    </w:rPr>
  </w:style>
  <w:style w:type="character" w:customStyle="1" w:styleId="FootnoteTextChar">
    <w:name w:val="Footnote Text Char"/>
    <w:aliases w:val=" Char Char"/>
    <w:basedOn w:val="DefaultParagraphFont"/>
    <w:link w:val="FootnoteText"/>
    <w:semiHidden/>
    <w:rsid w:val="00291E81"/>
    <w:rPr>
      <w:sz w:val="20"/>
      <w:szCs w:val="20"/>
    </w:rPr>
  </w:style>
  <w:style w:type="character" w:styleId="FootnoteReference">
    <w:name w:val="footnote reference"/>
    <w:basedOn w:val="DefaultParagraphFont"/>
    <w:uiPriority w:val="99"/>
    <w:semiHidden/>
    <w:unhideWhenUsed/>
    <w:rsid w:val="00291E81"/>
    <w:rPr>
      <w:vertAlign w:val="superscript"/>
    </w:rPr>
  </w:style>
  <w:style w:type="character" w:styleId="Hyperlink">
    <w:name w:val="Hyperlink"/>
    <w:basedOn w:val="DefaultParagraphFont"/>
    <w:uiPriority w:val="99"/>
    <w:unhideWhenUsed/>
    <w:rsid w:val="00CC7973"/>
    <w:rPr>
      <w:color w:val="0000FF" w:themeColor="hyperlink"/>
      <w:u w:val="single"/>
    </w:rPr>
  </w:style>
  <w:style w:type="paragraph" w:styleId="BalloonText">
    <w:name w:val="Balloon Text"/>
    <w:basedOn w:val="Normal"/>
    <w:link w:val="BalloonTextChar"/>
    <w:uiPriority w:val="99"/>
    <w:semiHidden/>
    <w:unhideWhenUsed/>
    <w:rsid w:val="005B0D3E"/>
    <w:rPr>
      <w:rFonts w:ascii="Tahoma" w:hAnsi="Tahoma" w:cs="Tahoma"/>
      <w:sz w:val="16"/>
      <w:szCs w:val="16"/>
    </w:rPr>
  </w:style>
  <w:style w:type="character" w:customStyle="1" w:styleId="BalloonTextChar">
    <w:name w:val="Balloon Text Char"/>
    <w:basedOn w:val="DefaultParagraphFont"/>
    <w:link w:val="BalloonText"/>
    <w:uiPriority w:val="99"/>
    <w:semiHidden/>
    <w:rsid w:val="005B0D3E"/>
    <w:rPr>
      <w:rFonts w:ascii="Tahoma" w:hAnsi="Tahoma" w:cs="Tahoma"/>
      <w:sz w:val="16"/>
      <w:szCs w:val="16"/>
    </w:rPr>
  </w:style>
  <w:style w:type="character" w:customStyle="1" w:styleId="FunotentextZchn">
    <w:name w:val="Fußnotentext Zchn"/>
    <w:aliases w:val=" Char Zchn"/>
    <w:basedOn w:val="DefaultParagraphFont"/>
    <w:semiHidden/>
    <w:rsid w:val="00120064"/>
    <w:rPr>
      <w:rFonts w:ascii="Times New Roman" w:hAnsi="Times New Roman"/>
      <w:sz w:val="20"/>
      <w:szCs w:val="20"/>
      <w:lang w:val="en-US"/>
    </w:rPr>
  </w:style>
  <w:style w:type="paragraph" w:styleId="ListParagraph">
    <w:name w:val="List Paragraph"/>
    <w:basedOn w:val="Normal"/>
    <w:uiPriority w:val="34"/>
    <w:qFormat/>
    <w:rsid w:val="00EA0B63"/>
    <w:pPr>
      <w:spacing w:after="200" w:line="276" w:lineRule="auto"/>
      <w:ind w:left="720"/>
      <w:contextualSpacing/>
    </w:pPr>
    <w:rPr>
      <w:rFonts w:asciiTheme="minorHAnsi" w:hAnsiTheme="minorHAnsi"/>
      <w:sz w:val="22"/>
      <w:lang w:val="de-DE"/>
    </w:rPr>
  </w:style>
  <w:style w:type="paragraph" w:styleId="HTMLPreformatted">
    <w:name w:val="HTML Preformatted"/>
    <w:basedOn w:val="Normal"/>
    <w:link w:val="HTMLPreformattedChar"/>
    <w:uiPriority w:val="99"/>
    <w:semiHidden/>
    <w:unhideWhenUsed/>
    <w:rsid w:val="00574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val="de-DE" w:eastAsia="de-DE"/>
    </w:rPr>
  </w:style>
  <w:style w:type="character" w:customStyle="1" w:styleId="HTMLPreformattedChar">
    <w:name w:val="HTML Preformatted Char"/>
    <w:basedOn w:val="DefaultParagraphFont"/>
    <w:link w:val="HTMLPreformatted"/>
    <w:uiPriority w:val="99"/>
    <w:semiHidden/>
    <w:rsid w:val="00574265"/>
    <w:rPr>
      <w:rFonts w:ascii="Courier New" w:eastAsia="Times New Roman" w:hAnsi="Courier New" w:cs="Courier New"/>
      <w:color w:val="000000"/>
      <w:sz w:val="20"/>
      <w:szCs w:val="20"/>
      <w:lang w:val="de-DE" w:eastAsia="de-DE"/>
    </w:rPr>
  </w:style>
  <w:style w:type="paragraph" w:styleId="EndnoteText">
    <w:name w:val="endnote text"/>
    <w:basedOn w:val="Normal"/>
    <w:link w:val="EndnoteTextChar"/>
    <w:uiPriority w:val="99"/>
    <w:semiHidden/>
    <w:unhideWhenUsed/>
    <w:rsid w:val="00A15C10"/>
    <w:rPr>
      <w:sz w:val="20"/>
      <w:szCs w:val="20"/>
    </w:rPr>
  </w:style>
  <w:style w:type="character" w:customStyle="1" w:styleId="EndnoteTextChar">
    <w:name w:val="Endnote Text Char"/>
    <w:basedOn w:val="DefaultParagraphFont"/>
    <w:link w:val="EndnoteText"/>
    <w:uiPriority w:val="99"/>
    <w:semiHidden/>
    <w:rsid w:val="00A15C10"/>
    <w:rPr>
      <w:sz w:val="20"/>
      <w:szCs w:val="20"/>
    </w:rPr>
  </w:style>
  <w:style w:type="character" w:styleId="EndnoteReference">
    <w:name w:val="endnote reference"/>
    <w:basedOn w:val="DefaultParagraphFont"/>
    <w:uiPriority w:val="99"/>
    <w:semiHidden/>
    <w:unhideWhenUsed/>
    <w:rsid w:val="00A15C10"/>
    <w:rPr>
      <w:vertAlign w:val="superscript"/>
    </w:rPr>
  </w:style>
  <w:style w:type="character" w:styleId="Emphasis">
    <w:name w:val="Emphasis"/>
    <w:basedOn w:val="DefaultParagraphFont"/>
    <w:uiPriority w:val="20"/>
    <w:qFormat/>
    <w:rsid w:val="00030446"/>
    <w:rPr>
      <w:i/>
      <w:iCs/>
    </w:rPr>
  </w:style>
  <w:style w:type="paragraph" w:customStyle="1" w:styleId="Default">
    <w:name w:val="Default"/>
    <w:rsid w:val="00030446"/>
    <w:pPr>
      <w:autoSpaceDE w:val="0"/>
      <w:autoSpaceDN w:val="0"/>
      <w:adjustRightInd w:val="0"/>
    </w:pPr>
    <w:rPr>
      <w:rFonts w:cs="Times New Roman"/>
      <w:color w:val="000000"/>
      <w:szCs w:val="24"/>
    </w:rPr>
  </w:style>
  <w:style w:type="paragraph" w:styleId="NormalWeb">
    <w:name w:val="Normal (Web)"/>
    <w:basedOn w:val="Normal"/>
    <w:rsid w:val="00030446"/>
    <w:pPr>
      <w:spacing w:before="100" w:beforeAutospacing="1" w:after="100" w:afterAutospacing="1"/>
    </w:pPr>
    <w:rPr>
      <w:rFonts w:eastAsia="Times New Roman" w:cs="Times New Roman"/>
      <w:szCs w:val="24"/>
    </w:rPr>
  </w:style>
  <w:style w:type="character" w:customStyle="1" w:styleId="textnew">
    <w:name w:val="textnew"/>
    <w:basedOn w:val="DefaultParagraphFont"/>
    <w:rsid w:val="00030446"/>
  </w:style>
  <w:style w:type="character" w:customStyle="1" w:styleId="Style12pt">
    <w:name w:val="Style 12 pt"/>
    <w:rsid w:val="00030446"/>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C716C0"/>
    <w:rPr>
      <w:sz w:val="16"/>
      <w:szCs w:val="16"/>
    </w:rPr>
  </w:style>
  <w:style w:type="paragraph" w:styleId="CommentText">
    <w:name w:val="annotation text"/>
    <w:basedOn w:val="Normal"/>
    <w:link w:val="CommentTextChar"/>
    <w:uiPriority w:val="99"/>
    <w:semiHidden/>
    <w:unhideWhenUsed/>
    <w:rsid w:val="00C716C0"/>
    <w:rPr>
      <w:sz w:val="20"/>
      <w:szCs w:val="20"/>
    </w:rPr>
  </w:style>
  <w:style w:type="character" w:customStyle="1" w:styleId="CommentTextChar">
    <w:name w:val="Comment Text Char"/>
    <w:basedOn w:val="DefaultParagraphFont"/>
    <w:link w:val="CommentText"/>
    <w:uiPriority w:val="99"/>
    <w:semiHidden/>
    <w:rsid w:val="00C716C0"/>
    <w:rPr>
      <w:sz w:val="20"/>
      <w:szCs w:val="20"/>
    </w:rPr>
  </w:style>
  <w:style w:type="paragraph" w:styleId="CommentSubject">
    <w:name w:val="annotation subject"/>
    <w:basedOn w:val="CommentText"/>
    <w:next w:val="CommentText"/>
    <w:link w:val="CommentSubjectChar"/>
    <w:uiPriority w:val="99"/>
    <w:semiHidden/>
    <w:unhideWhenUsed/>
    <w:rsid w:val="00C716C0"/>
    <w:rPr>
      <w:b/>
      <w:bCs/>
    </w:rPr>
  </w:style>
  <w:style w:type="character" w:customStyle="1" w:styleId="CommentSubjectChar">
    <w:name w:val="Comment Subject Char"/>
    <w:basedOn w:val="CommentTextChar"/>
    <w:link w:val="CommentSubject"/>
    <w:uiPriority w:val="99"/>
    <w:semiHidden/>
    <w:rsid w:val="00C716C0"/>
    <w:rPr>
      <w:b/>
      <w:bCs/>
      <w:sz w:val="20"/>
      <w:szCs w:val="20"/>
    </w:rPr>
  </w:style>
  <w:style w:type="character" w:styleId="FollowedHyperlink">
    <w:name w:val="FollowedHyperlink"/>
    <w:basedOn w:val="DefaultParagraphFont"/>
    <w:uiPriority w:val="99"/>
    <w:semiHidden/>
    <w:unhideWhenUsed/>
    <w:rsid w:val="00DC639C"/>
    <w:rPr>
      <w:color w:val="800080" w:themeColor="followedHyperlink"/>
      <w:u w:val="single"/>
    </w:rPr>
  </w:style>
  <w:style w:type="table" w:styleId="TableGrid">
    <w:name w:val="Table Grid"/>
    <w:basedOn w:val="TableNormal"/>
    <w:uiPriority w:val="59"/>
    <w:rsid w:val="00150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F2A"/>
    <w:pPr>
      <w:tabs>
        <w:tab w:val="center" w:pos="4680"/>
        <w:tab w:val="right" w:pos="9360"/>
      </w:tabs>
    </w:pPr>
  </w:style>
  <w:style w:type="character" w:customStyle="1" w:styleId="HeaderChar">
    <w:name w:val="Header Char"/>
    <w:basedOn w:val="DefaultParagraphFont"/>
    <w:link w:val="Header"/>
    <w:uiPriority w:val="99"/>
    <w:rsid w:val="00884F2A"/>
  </w:style>
  <w:style w:type="paragraph" w:styleId="Footer">
    <w:name w:val="footer"/>
    <w:basedOn w:val="Normal"/>
    <w:link w:val="FooterChar"/>
    <w:uiPriority w:val="99"/>
    <w:unhideWhenUsed/>
    <w:rsid w:val="00884F2A"/>
    <w:pPr>
      <w:tabs>
        <w:tab w:val="center" w:pos="4680"/>
        <w:tab w:val="right" w:pos="9360"/>
      </w:tabs>
    </w:pPr>
  </w:style>
  <w:style w:type="character" w:customStyle="1" w:styleId="FooterChar">
    <w:name w:val="Footer Char"/>
    <w:basedOn w:val="DefaultParagraphFont"/>
    <w:link w:val="Footer"/>
    <w:uiPriority w:val="99"/>
    <w:rsid w:val="00884F2A"/>
  </w:style>
  <w:style w:type="paragraph" w:styleId="FootnoteText">
    <w:name w:val="footnote text"/>
    <w:aliases w:val=" Char"/>
    <w:basedOn w:val="Normal"/>
    <w:link w:val="FootnoteTextChar"/>
    <w:semiHidden/>
    <w:unhideWhenUsed/>
    <w:rsid w:val="00291E81"/>
    <w:rPr>
      <w:sz w:val="20"/>
      <w:szCs w:val="20"/>
    </w:rPr>
  </w:style>
  <w:style w:type="character" w:customStyle="1" w:styleId="FootnoteTextChar">
    <w:name w:val="Footnote Text Char"/>
    <w:aliases w:val=" Char Char"/>
    <w:basedOn w:val="DefaultParagraphFont"/>
    <w:link w:val="FootnoteText"/>
    <w:semiHidden/>
    <w:rsid w:val="00291E81"/>
    <w:rPr>
      <w:sz w:val="20"/>
      <w:szCs w:val="20"/>
    </w:rPr>
  </w:style>
  <w:style w:type="character" w:styleId="FootnoteReference">
    <w:name w:val="footnote reference"/>
    <w:basedOn w:val="DefaultParagraphFont"/>
    <w:uiPriority w:val="99"/>
    <w:semiHidden/>
    <w:unhideWhenUsed/>
    <w:rsid w:val="00291E81"/>
    <w:rPr>
      <w:vertAlign w:val="superscript"/>
    </w:rPr>
  </w:style>
  <w:style w:type="character" w:styleId="Hyperlink">
    <w:name w:val="Hyperlink"/>
    <w:basedOn w:val="DefaultParagraphFont"/>
    <w:uiPriority w:val="99"/>
    <w:unhideWhenUsed/>
    <w:rsid w:val="00CC7973"/>
    <w:rPr>
      <w:color w:val="0000FF" w:themeColor="hyperlink"/>
      <w:u w:val="single"/>
    </w:rPr>
  </w:style>
  <w:style w:type="paragraph" w:styleId="BalloonText">
    <w:name w:val="Balloon Text"/>
    <w:basedOn w:val="Normal"/>
    <w:link w:val="BalloonTextChar"/>
    <w:uiPriority w:val="99"/>
    <w:semiHidden/>
    <w:unhideWhenUsed/>
    <w:rsid w:val="005B0D3E"/>
    <w:rPr>
      <w:rFonts w:ascii="Tahoma" w:hAnsi="Tahoma" w:cs="Tahoma"/>
      <w:sz w:val="16"/>
      <w:szCs w:val="16"/>
    </w:rPr>
  </w:style>
  <w:style w:type="character" w:customStyle="1" w:styleId="BalloonTextChar">
    <w:name w:val="Balloon Text Char"/>
    <w:basedOn w:val="DefaultParagraphFont"/>
    <w:link w:val="BalloonText"/>
    <w:uiPriority w:val="99"/>
    <w:semiHidden/>
    <w:rsid w:val="005B0D3E"/>
    <w:rPr>
      <w:rFonts w:ascii="Tahoma" w:hAnsi="Tahoma" w:cs="Tahoma"/>
      <w:sz w:val="16"/>
      <w:szCs w:val="16"/>
    </w:rPr>
  </w:style>
  <w:style w:type="character" w:customStyle="1" w:styleId="FunotentextZchn">
    <w:name w:val="Fußnotentext Zchn"/>
    <w:aliases w:val=" Char Zchn"/>
    <w:basedOn w:val="DefaultParagraphFont"/>
    <w:semiHidden/>
    <w:rsid w:val="00120064"/>
    <w:rPr>
      <w:rFonts w:ascii="Times New Roman" w:hAnsi="Times New Roman"/>
      <w:sz w:val="20"/>
      <w:szCs w:val="20"/>
      <w:lang w:val="en-US"/>
    </w:rPr>
  </w:style>
  <w:style w:type="paragraph" w:styleId="ListParagraph">
    <w:name w:val="List Paragraph"/>
    <w:basedOn w:val="Normal"/>
    <w:uiPriority w:val="34"/>
    <w:qFormat/>
    <w:rsid w:val="00EA0B63"/>
    <w:pPr>
      <w:spacing w:after="200" w:line="276" w:lineRule="auto"/>
      <w:ind w:left="720"/>
      <w:contextualSpacing/>
    </w:pPr>
    <w:rPr>
      <w:rFonts w:asciiTheme="minorHAnsi" w:hAnsiTheme="minorHAnsi"/>
      <w:sz w:val="22"/>
      <w:lang w:val="de-DE"/>
    </w:rPr>
  </w:style>
  <w:style w:type="paragraph" w:styleId="HTMLPreformatted">
    <w:name w:val="HTML Preformatted"/>
    <w:basedOn w:val="Normal"/>
    <w:link w:val="HTMLPreformattedChar"/>
    <w:uiPriority w:val="99"/>
    <w:semiHidden/>
    <w:unhideWhenUsed/>
    <w:rsid w:val="00574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val="de-DE" w:eastAsia="de-DE"/>
    </w:rPr>
  </w:style>
  <w:style w:type="character" w:customStyle="1" w:styleId="HTMLPreformattedChar">
    <w:name w:val="HTML Preformatted Char"/>
    <w:basedOn w:val="DefaultParagraphFont"/>
    <w:link w:val="HTMLPreformatted"/>
    <w:uiPriority w:val="99"/>
    <w:semiHidden/>
    <w:rsid w:val="00574265"/>
    <w:rPr>
      <w:rFonts w:ascii="Courier New" w:eastAsia="Times New Roman" w:hAnsi="Courier New" w:cs="Courier New"/>
      <w:color w:val="000000"/>
      <w:sz w:val="20"/>
      <w:szCs w:val="20"/>
      <w:lang w:val="de-DE" w:eastAsia="de-DE"/>
    </w:rPr>
  </w:style>
  <w:style w:type="paragraph" w:styleId="EndnoteText">
    <w:name w:val="endnote text"/>
    <w:basedOn w:val="Normal"/>
    <w:link w:val="EndnoteTextChar"/>
    <w:uiPriority w:val="99"/>
    <w:semiHidden/>
    <w:unhideWhenUsed/>
    <w:rsid w:val="00A15C10"/>
    <w:rPr>
      <w:sz w:val="20"/>
      <w:szCs w:val="20"/>
    </w:rPr>
  </w:style>
  <w:style w:type="character" w:customStyle="1" w:styleId="EndnoteTextChar">
    <w:name w:val="Endnote Text Char"/>
    <w:basedOn w:val="DefaultParagraphFont"/>
    <w:link w:val="EndnoteText"/>
    <w:uiPriority w:val="99"/>
    <w:semiHidden/>
    <w:rsid w:val="00A15C10"/>
    <w:rPr>
      <w:sz w:val="20"/>
      <w:szCs w:val="20"/>
    </w:rPr>
  </w:style>
  <w:style w:type="character" w:styleId="EndnoteReference">
    <w:name w:val="endnote reference"/>
    <w:basedOn w:val="DefaultParagraphFont"/>
    <w:uiPriority w:val="99"/>
    <w:semiHidden/>
    <w:unhideWhenUsed/>
    <w:rsid w:val="00A15C10"/>
    <w:rPr>
      <w:vertAlign w:val="superscript"/>
    </w:rPr>
  </w:style>
  <w:style w:type="character" w:styleId="Emphasis">
    <w:name w:val="Emphasis"/>
    <w:basedOn w:val="DefaultParagraphFont"/>
    <w:uiPriority w:val="20"/>
    <w:qFormat/>
    <w:rsid w:val="00030446"/>
    <w:rPr>
      <w:i/>
      <w:iCs/>
    </w:rPr>
  </w:style>
  <w:style w:type="paragraph" w:customStyle="1" w:styleId="Default">
    <w:name w:val="Default"/>
    <w:rsid w:val="00030446"/>
    <w:pPr>
      <w:autoSpaceDE w:val="0"/>
      <w:autoSpaceDN w:val="0"/>
      <w:adjustRightInd w:val="0"/>
    </w:pPr>
    <w:rPr>
      <w:rFonts w:cs="Times New Roman"/>
      <w:color w:val="000000"/>
      <w:szCs w:val="24"/>
    </w:rPr>
  </w:style>
  <w:style w:type="paragraph" w:styleId="NormalWeb">
    <w:name w:val="Normal (Web)"/>
    <w:basedOn w:val="Normal"/>
    <w:rsid w:val="00030446"/>
    <w:pPr>
      <w:spacing w:before="100" w:beforeAutospacing="1" w:after="100" w:afterAutospacing="1"/>
    </w:pPr>
    <w:rPr>
      <w:rFonts w:eastAsia="Times New Roman" w:cs="Times New Roman"/>
      <w:szCs w:val="24"/>
    </w:rPr>
  </w:style>
  <w:style w:type="character" w:customStyle="1" w:styleId="textnew">
    <w:name w:val="textnew"/>
    <w:basedOn w:val="DefaultParagraphFont"/>
    <w:rsid w:val="00030446"/>
  </w:style>
  <w:style w:type="character" w:customStyle="1" w:styleId="Style12pt">
    <w:name w:val="Style 12 pt"/>
    <w:rsid w:val="00030446"/>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C716C0"/>
    <w:rPr>
      <w:sz w:val="16"/>
      <w:szCs w:val="16"/>
    </w:rPr>
  </w:style>
  <w:style w:type="paragraph" w:styleId="CommentText">
    <w:name w:val="annotation text"/>
    <w:basedOn w:val="Normal"/>
    <w:link w:val="CommentTextChar"/>
    <w:uiPriority w:val="99"/>
    <w:semiHidden/>
    <w:unhideWhenUsed/>
    <w:rsid w:val="00C716C0"/>
    <w:rPr>
      <w:sz w:val="20"/>
      <w:szCs w:val="20"/>
    </w:rPr>
  </w:style>
  <w:style w:type="character" w:customStyle="1" w:styleId="CommentTextChar">
    <w:name w:val="Comment Text Char"/>
    <w:basedOn w:val="DefaultParagraphFont"/>
    <w:link w:val="CommentText"/>
    <w:uiPriority w:val="99"/>
    <w:semiHidden/>
    <w:rsid w:val="00C716C0"/>
    <w:rPr>
      <w:sz w:val="20"/>
      <w:szCs w:val="20"/>
    </w:rPr>
  </w:style>
  <w:style w:type="paragraph" w:styleId="CommentSubject">
    <w:name w:val="annotation subject"/>
    <w:basedOn w:val="CommentText"/>
    <w:next w:val="CommentText"/>
    <w:link w:val="CommentSubjectChar"/>
    <w:uiPriority w:val="99"/>
    <w:semiHidden/>
    <w:unhideWhenUsed/>
    <w:rsid w:val="00C716C0"/>
    <w:rPr>
      <w:b/>
      <w:bCs/>
    </w:rPr>
  </w:style>
  <w:style w:type="character" w:customStyle="1" w:styleId="CommentSubjectChar">
    <w:name w:val="Comment Subject Char"/>
    <w:basedOn w:val="CommentTextChar"/>
    <w:link w:val="CommentSubject"/>
    <w:uiPriority w:val="99"/>
    <w:semiHidden/>
    <w:rsid w:val="00C716C0"/>
    <w:rPr>
      <w:b/>
      <w:bCs/>
      <w:sz w:val="20"/>
      <w:szCs w:val="20"/>
    </w:rPr>
  </w:style>
  <w:style w:type="character" w:styleId="FollowedHyperlink">
    <w:name w:val="FollowedHyperlink"/>
    <w:basedOn w:val="DefaultParagraphFont"/>
    <w:uiPriority w:val="99"/>
    <w:semiHidden/>
    <w:unhideWhenUsed/>
    <w:rsid w:val="00DC639C"/>
    <w:rPr>
      <w:color w:val="800080" w:themeColor="followedHyperlink"/>
      <w:u w:val="single"/>
    </w:rPr>
  </w:style>
  <w:style w:type="table" w:styleId="TableGrid">
    <w:name w:val="Table Grid"/>
    <w:basedOn w:val="TableNormal"/>
    <w:uiPriority w:val="59"/>
    <w:rsid w:val="00150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5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1.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yperlink" Target="https://webmail.zedat.fu-berlin.de/src/compose.php?send_to=dtiron1%40lsu.edu" TargetMode="External"/><Relationship Id="rId17" Type="http://schemas.openxmlformats.org/officeDocument/2006/relationships/hyperlink" Target="http://www.worldbank.org" TargetMode="Externa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hyperlink" Target="http://www.correlatesofwar.org" TargetMode="Externa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urissa.muehlich@fu-berlin.de" TargetMode="External"/><Relationship Id="rId24"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hyperlink" Target="http://www.imf.org" TargetMode="External"/><Relationship Id="rId23" Type="http://schemas.openxmlformats.org/officeDocument/2006/relationships/image" Target="media/image6.tiff"/><Relationship Id="rId28" Type="http://schemas.openxmlformats.org/officeDocument/2006/relationships/fontTable" Target="fontTable.xml"/><Relationship Id="rId10" Type="http://schemas.openxmlformats.org/officeDocument/2006/relationships/hyperlink" Target="http://www.lesliearmijo.org"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https://webmail.zedat.fu-berlin.de/src/compose.php?send_to=leslie.armijo%40cal.berkeley.edu" TargetMode="External"/><Relationship Id="rId14" Type="http://schemas.openxmlformats.org/officeDocument/2006/relationships/hyperlink" Target="http://www.heritage.org" TargetMode="External"/><Relationship Id="rId22" Type="http://schemas.openxmlformats.org/officeDocument/2006/relationships/image" Target="media/image5.emf"/><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D97ED-2E0A-4FBB-8403-9E34B9BC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10418</Words>
  <Characters>59386</Characters>
  <Application>Microsoft Office Word</Application>
  <DocSecurity>0</DocSecurity>
  <Lines>494</Lines>
  <Paragraphs>139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69665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2</cp:revision>
  <dcterms:created xsi:type="dcterms:W3CDTF">2013-08-16T15:15:00Z</dcterms:created>
  <dcterms:modified xsi:type="dcterms:W3CDTF">2013-08-16T15:15:00Z</dcterms:modified>
</cp:coreProperties>
</file>