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20" w:rsidRPr="000A58DA" w:rsidRDefault="000C3315" w:rsidP="00081943">
      <w:pPr>
        <w:jc w:val="center"/>
        <w:rPr>
          <w:rFonts w:cs="Times New Roman"/>
          <w:b/>
          <w:szCs w:val="24"/>
        </w:rPr>
      </w:pPr>
      <w:r w:rsidRPr="000A58DA">
        <w:rPr>
          <w:rFonts w:cs="Times New Roman"/>
          <w:b/>
          <w:szCs w:val="24"/>
        </w:rPr>
        <w:t xml:space="preserve">    </w:t>
      </w:r>
    </w:p>
    <w:p w:rsidR="000A252E" w:rsidRDefault="009E6103" w:rsidP="00081943">
      <w:pPr>
        <w:jc w:val="center"/>
        <w:rPr>
          <w:rFonts w:cs="Times New Roman"/>
          <w:b/>
          <w:sz w:val="28"/>
          <w:szCs w:val="28"/>
        </w:rPr>
      </w:pPr>
      <w:r>
        <w:rPr>
          <w:rFonts w:cs="Times New Roman"/>
          <w:b/>
          <w:sz w:val="28"/>
          <w:szCs w:val="28"/>
        </w:rPr>
        <w:t xml:space="preserve">The </w:t>
      </w:r>
      <w:r w:rsidRPr="000664F6">
        <w:rPr>
          <w:rFonts w:cs="Times New Roman"/>
          <w:b/>
          <w:sz w:val="28"/>
          <w:szCs w:val="28"/>
        </w:rPr>
        <w:t>Public Bank Trilemma</w:t>
      </w:r>
      <w:r>
        <w:rPr>
          <w:rFonts w:cs="Times New Roman"/>
          <w:b/>
          <w:sz w:val="28"/>
          <w:szCs w:val="28"/>
        </w:rPr>
        <w:t xml:space="preserve">: </w:t>
      </w:r>
      <w:r w:rsidRPr="000664F6">
        <w:rPr>
          <w:rFonts w:cs="Times New Roman"/>
          <w:b/>
          <w:sz w:val="28"/>
          <w:szCs w:val="28"/>
        </w:rPr>
        <w:t xml:space="preserve"> </w:t>
      </w:r>
    </w:p>
    <w:p w:rsidR="00081943" w:rsidRDefault="00081943" w:rsidP="00081943">
      <w:pPr>
        <w:jc w:val="center"/>
        <w:rPr>
          <w:rFonts w:cs="Times New Roman"/>
          <w:b/>
          <w:sz w:val="28"/>
          <w:szCs w:val="28"/>
        </w:rPr>
      </w:pPr>
    </w:p>
    <w:p w:rsidR="00022C75" w:rsidRDefault="00F01420" w:rsidP="00081943">
      <w:pPr>
        <w:jc w:val="center"/>
        <w:rPr>
          <w:rFonts w:cs="Times New Roman"/>
          <w:b/>
          <w:sz w:val="28"/>
          <w:szCs w:val="28"/>
        </w:rPr>
        <w:sectPr w:rsidR="00022C75" w:rsidSect="000A252E">
          <w:footerReference w:type="default" r:id="rId9"/>
          <w:endnotePr>
            <w:numFmt w:val="decimal"/>
          </w:endnotePr>
          <w:type w:val="continuous"/>
          <w:pgSz w:w="12240" w:h="15840"/>
          <w:pgMar w:top="1440" w:right="1440" w:bottom="1440" w:left="1440" w:header="720" w:footer="720" w:gutter="0"/>
          <w:cols w:space="720"/>
          <w:docGrid w:linePitch="360"/>
        </w:sectPr>
      </w:pPr>
      <w:r w:rsidRPr="000664F6">
        <w:rPr>
          <w:rFonts w:cs="Times New Roman"/>
          <w:b/>
          <w:sz w:val="28"/>
          <w:szCs w:val="28"/>
        </w:rPr>
        <w:t xml:space="preserve">Brazil’s </w:t>
      </w:r>
      <w:r w:rsidR="009E6103">
        <w:rPr>
          <w:rFonts w:cs="Times New Roman"/>
          <w:b/>
          <w:sz w:val="28"/>
          <w:szCs w:val="28"/>
        </w:rPr>
        <w:t xml:space="preserve">New </w:t>
      </w:r>
      <w:proofErr w:type="spellStart"/>
      <w:r w:rsidR="009E6103">
        <w:rPr>
          <w:rFonts w:cs="Times New Roman"/>
          <w:b/>
          <w:sz w:val="28"/>
          <w:szCs w:val="28"/>
        </w:rPr>
        <w:t>Developmentalism</w:t>
      </w:r>
      <w:proofErr w:type="spellEnd"/>
      <w:r w:rsidR="009E6103">
        <w:rPr>
          <w:rFonts w:cs="Times New Roman"/>
          <w:b/>
          <w:sz w:val="28"/>
          <w:szCs w:val="28"/>
        </w:rPr>
        <w:t xml:space="preserve"> and t</w:t>
      </w:r>
      <w:r w:rsidR="005F7A3E" w:rsidRPr="000664F6">
        <w:rPr>
          <w:rFonts w:cs="Times New Roman"/>
          <w:b/>
          <w:sz w:val="28"/>
          <w:szCs w:val="28"/>
        </w:rPr>
        <w:t xml:space="preserve">he </w:t>
      </w:r>
      <w:r w:rsidR="009E6103">
        <w:rPr>
          <w:rFonts w:cs="Times New Roman"/>
          <w:b/>
          <w:sz w:val="28"/>
          <w:szCs w:val="28"/>
        </w:rPr>
        <w:t>BNDES</w:t>
      </w:r>
    </w:p>
    <w:p w:rsidR="00D84DF4" w:rsidRPr="000A58DA" w:rsidRDefault="00D84DF4" w:rsidP="00081943">
      <w:pPr>
        <w:jc w:val="center"/>
        <w:rPr>
          <w:rFonts w:cs="Times New Roman"/>
          <w:szCs w:val="24"/>
        </w:rPr>
      </w:pPr>
    </w:p>
    <w:p w:rsidR="00081943" w:rsidRDefault="00081943" w:rsidP="00081943">
      <w:pPr>
        <w:jc w:val="center"/>
        <w:rPr>
          <w:rFonts w:cs="Times New Roman"/>
          <w:szCs w:val="24"/>
        </w:rPr>
      </w:pPr>
    </w:p>
    <w:p w:rsidR="00D84DF4" w:rsidRPr="000A58DA" w:rsidRDefault="00D84DF4" w:rsidP="00081943">
      <w:pPr>
        <w:jc w:val="center"/>
        <w:rPr>
          <w:rFonts w:cs="Times New Roman"/>
          <w:szCs w:val="24"/>
        </w:rPr>
      </w:pPr>
      <w:r w:rsidRPr="000A58DA">
        <w:rPr>
          <w:rFonts w:cs="Times New Roman"/>
          <w:szCs w:val="24"/>
        </w:rPr>
        <w:t>Leslie Elliott Armijo; leslie.armijo@gmail.com</w:t>
      </w:r>
    </w:p>
    <w:p w:rsidR="00D84DF4" w:rsidRPr="000A58DA" w:rsidRDefault="00D84DF4" w:rsidP="00081943">
      <w:pPr>
        <w:jc w:val="center"/>
        <w:rPr>
          <w:rFonts w:cs="Times New Roman"/>
          <w:szCs w:val="24"/>
        </w:rPr>
      </w:pPr>
    </w:p>
    <w:p w:rsidR="00D84DF4" w:rsidRPr="000A58DA" w:rsidRDefault="00D84DF4" w:rsidP="00081943">
      <w:pPr>
        <w:jc w:val="center"/>
        <w:rPr>
          <w:rFonts w:cs="Times New Roman"/>
          <w:szCs w:val="24"/>
        </w:rPr>
      </w:pPr>
      <w:r>
        <w:rPr>
          <w:rFonts w:cs="Times New Roman"/>
          <w:szCs w:val="24"/>
        </w:rPr>
        <w:t>Draft of July</w:t>
      </w:r>
      <w:r w:rsidRPr="000A58DA">
        <w:rPr>
          <w:rFonts w:cs="Times New Roman"/>
          <w:szCs w:val="24"/>
        </w:rPr>
        <w:t xml:space="preserve"> </w:t>
      </w:r>
      <w:r w:rsidR="00CA72CE">
        <w:rPr>
          <w:rFonts w:cs="Times New Roman"/>
          <w:szCs w:val="24"/>
        </w:rPr>
        <w:t>24</w:t>
      </w:r>
      <w:bookmarkStart w:id="0" w:name="_GoBack"/>
      <w:bookmarkEnd w:id="0"/>
      <w:r w:rsidR="002F5742">
        <w:rPr>
          <w:rFonts w:cs="Times New Roman"/>
          <w:szCs w:val="24"/>
        </w:rPr>
        <w:t xml:space="preserve">, </w:t>
      </w:r>
      <w:r w:rsidRPr="000A58DA">
        <w:rPr>
          <w:rFonts w:cs="Times New Roman"/>
          <w:szCs w:val="24"/>
        </w:rPr>
        <w:t>2013</w:t>
      </w:r>
    </w:p>
    <w:p w:rsidR="00D84DF4" w:rsidRPr="000A58DA" w:rsidRDefault="00D84DF4" w:rsidP="00081943">
      <w:pPr>
        <w:jc w:val="center"/>
        <w:rPr>
          <w:rFonts w:cs="Times New Roman"/>
          <w:szCs w:val="24"/>
        </w:rPr>
      </w:pPr>
    </w:p>
    <w:p w:rsidR="00D84DF4" w:rsidRPr="000A58DA" w:rsidRDefault="00D84DF4" w:rsidP="00081943">
      <w:pPr>
        <w:spacing w:line="480" w:lineRule="auto"/>
        <w:jc w:val="center"/>
        <w:rPr>
          <w:rFonts w:cs="Times New Roman"/>
          <w:szCs w:val="24"/>
        </w:rPr>
      </w:pPr>
      <w:r w:rsidRPr="000A58DA">
        <w:rPr>
          <w:rFonts w:cs="Times New Roman"/>
          <w:szCs w:val="24"/>
        </w:rPr>
        <w:t xml:space="preserve">Prepared for inclusion in Peter </w:t>
      </w:r>
      <w:proofErr w:type="spellStart"/>
      <w:r w:rsidRPr="000A58DA">
        <w:rPr>
          <w:rFonts w:cs="Times New Roman"/>
          <w:szCs w:val="24"/>
        </w:rPr>
        <w:t>Kingstone</w:t>
      </w:r>
      <w:proofErr w:type="spellEnd"/>
      <w:r w:rsidRPr="000A58DA">
        <w:rPr>
          <w:rFonts w:cs="Times New Roman"/>
          <w:szCs w:val="24"/>
        </w:rPr>
        <w:t xml:space="preserve"> and Timothy Power, eds. </w:t>
      </w:r>
    </w:p>
    <w:p w:rsidR="00D84DF4" w:rsidRPr="000A58DA" w:rsidRDefault="00D84DF4" w:rsidP="00081943">
      <w:pPr>
        <w:spacing w:line="480" w:lineRule="auto"/>
        <w:jc w:val="center"/>
        <w:rPr>
          <w:rFonts w:cs="Times New Roman"/>
          <w:szCs w:val="24"/>
        </w:rPr>
      </w:pPr>
      <w:r w:rsidRPr="000A58DA">
        <w:rPr>
          <w:rFonts w:cs="Times New Roman"/>
          <w:i/>
          <w:szCs w:val="24"/>
        </w:rPr>
        <w:t xml:space="preserve">Democratic Brazil Ascendant, </w:t>
      </w:r>
      <w:r w:rsidRPr="000A58DA">
        <w:rPr>
          <w:rFonts w:cs="Times New Roman"/>
          <w:szCs w:val="24"/>
        </w:rPr>
        <w:t>forthcoming.</w:t>
      </w:r>
    </w:p>
    <w:p w:rsidR="00D84DF4" w:rsidRPr="000A58DA" w:rsidRDefault="00D84DF4" w:rsidP="00081943">
      <w:pPr>
        <w:spacing w:line="480" w:lineRule="auto"/>
        <w:jc w:val="center"/>
        <w:rPr>
          <w:rFonts w:cs="Times New Roman"/>
          <w:szCs w:val="24"/>
        </w:rPr>
      </w:pPr>
    </w:p>
    <w:p w:rsidR="00D84DF4" w:rsidRDefault="00D84DF4" w:rsidP="00081943">
      <w:pPr>
        <w:spacing w:line="480" w:lineRule="auto"/>
        <w:rPr>
          <w:rFonts w:cs="Times New Roman"/>
          <w:szCs w:val="24"/>
        </w:rPr>
      </w:pPr>
      <w:r w:rsidRPr="000A58DA">
        <w:rPr>
          <w:rFonts w:cs="Times New Roman"/>
          <w:b/>
          <w:szCs w:val="24"/>
        </w:rPr>
        <w:tab/>
      </w:r>
      <w:r w:rsidRPr="000A58DA">
        <w:rPr>
          <w:rFonts w:cs="Times New Roman"/>
          <w:szCs w:val="24"/>
        </w:rPr>
        <w:t xml:space="preserve">What is Brazil’s development model for </w:t>
      </w:r>
      <w:r>
        <w:rPr>
          <w:rFonts w:cs="Times New Roman"/>
          <w:szCs w:val="24"/>
        </w:rPr>
        <w:t xml:space="preserve">the twenty-first century? </w:t>
      </w:r>
      <w:r w:rsidRPr="000A58DA">
        <w:rPr>
          <w:rFonts w:cs="Times New Roman"/>
          <w:szCs w:val="24"/>
        </w:rPr>
        <w:t>This</w:t>
      </w:r>
      <w:r>
        <w:rPr>
          <w:rFonts w:cs="Times New Roman"/>
          <w:szCs w:val="24"/>
        </w:rPr>
        <w:t xml:space="preserve"> chapter argues that the ubiquitous term “new </w:t>
      </w:r>
      <w:proofErr w:type="spellStart"/>
      <w:r>
        <w:rPr>
          <w:rFonts w:cs="Times New Roman"/>
          <w:szCs w:val="24"/>
        </w:rPr>
        <w:t>d</w:t>
      </w:r>
      <w:r w:rsidRPr="000A58DA">
        <w:rPr>
          <w:rFonts w:cs="Times New Roman"/>
          <w:szCs w:val="24"/>
        </w:rPr>
        <w:t>evelopmentalism</w:t>
      </w:r>
      <w:proofErr w:type="spellEnd"/>
      <w:r w:rsidRPr="000A58DA">
        <w:rPr>
          <w:rFonts w:cs="Times New Roman"/>
          <w:szCs w:val="24"/>
        </w:rPr>
        <w:t xml:space="preserve">” is best used to identify the large degree of consensus on economic policies that </w:t>
      </w:r>
      <w:r>
        <w:rPr>
          <w:rFonts w:cs="Times New Roman"/>
          <w:szCs w:val="24"/>
        </w:rPr>
        <w:t xml:space="preserve">has </w:t>
      </w:r>
      <w:r w:rsidRPr="000A58DA">
        <w:rPr>
          <w:rFonts w:cs="Times New Roman"/>
          <w:szCs w:val="24"/>
        </w:rPr>
        <w:t>characterized all of Brazil’s governments sinc</w:t>
      </w:r>
      <w:r>
        <w:rPr>
          <w:rFonts w:cs="Times New Roman"/>
          <w:szCs w:val="24"/>
        </w:rPr>
        <w:t xml:space="preserve">e President Fernando </w:t>
      </w:r>
      <w:proofErr w:type="spellStart"/>
      <w:r>
        <w:rPr>
          <w:rFonts w:cs="Times New Roman"/>
          <w:szCs w:val="24"/>
        </w:rPr>
        <w:t>Collor</w:t>
      </w:r>
      <w:proofErr w:type="spellEnd"/>
      <w:r>
        <w:rPr>
          <w:rFonts w:cs="Times New Roman"/>
          <w:szCs w:val="24"/>
        </w:rPr>
        <w:t>. To understand</w:t>
      </w:r>
      <w:r w:rsidRPr="000A58DA">
        <w:rPr>
          <w:rFonts w:cs="Times New Roman"/>
          <w:szCs w:val="24"/>
        </w:rPr>
        <w:t xml:space="preserve"> Brazil’s development model, I examine the recent trajectory of the country’s industrial development bank, the BNDES (National Bank for Economic and Social Development)</w:t>
      </w:r>
      <w:r>
        <w:rPr>
          <w:rFonts w:cs="Times New Roman"/>
          <w:szCs w:val="24"/>
        </w:rPr>
        <w:t xml:space="preserve"> through the lens of the “public bank trilemma.”</w:t>
      </w:r>
      <w:r w:rsidRPr="000A58DA">
        <w:rPr>
          <w:rFonts w:cs="Times New Roman"/>
          <w:szCs w:val="24"/>
        </w:rPr>
        <w:t xml:space="preserve"> </w:t>
      </w:r>
      <w:r>
        <w:rPr>
          <w:rFonts w:cs="Times New Roman"/>
          <w:szCs w:val="24"/>
        </w:rPr>
        <w:t>The trilemma encapsulates the larger conflict inherent in state-led capitalist development: that of balancing autonomous</w:t>
      </w:r>
      <w:r w:rsidR="00CC20BC">
        <w:rPr>
          <w:rFonts w:cs="Times New Roman"/>
          <w:szCs w:val="24"/>
        </w:rPr>
        <w:t xml:space="preserve">, technocratic </w:t>
      </w:r>
      <w:proofErr w:type="spellStart"/>
      <w:r w:rsidR="00CC20BC">
        <w:rPr>
          <w:rFonts w:cs="Times New Roman"/>
          <w:szCs w:val="24"/>
        </w:rPr>
        <w:t>decisionmaking</w:t>
      </w:r>
      <w:proofErr w:type="spellEnd"/>
      <w:r w:rsidR="00CC20BC">
        <w:rPr>
          <w:rFonts w:cs="Times New Roman"/>
          <w:szCs w:val="24"/>
        </w:rPr>
        <w:t xml:space="preserve"> (“Expertise”</w:t>
      </w:r>
      <w:r>
        <w:rPr>
          <w:rFonts w:cs="Times New Roman"/>
          <w:szCs w:val="24"/>
        </w:rPr>
        <w:t xml:space="preserve">), </w:t>
      </w:r>
      <w:r w:rsidR="008F45E3">
        <w:rPr>
          <w:rFonts w:cs="Times New Roman"/>
          <w:szCs w:val="24"/>
        </w:rPr>
        <w:t xml:space="preserve">and </w:t>
      </w:r>
      <w:r>
        <w:rPr>
          <w:rFonts w:cs="Times New Roman"/>
          <w:szCs w:val="24"/>
        </w:rPr>
        <w:t>the immediate demands of ordinary citizens for a better-life, as expressed through th</w:t>
      </w:r>
      <w:r w:rsidR="00CC20BC">
        <w:rPr>
          <w:rFonts w:cs="Times New Roman"/>
          <w:szCs w:val="24"/>
        </w:rPr>
        <w:t>eir political representatives (“Democracy”</w:t>
      </w:r>
      <w:r>
        <w:rPr>
          <w:rFonts w:cs="Times New Roman"/>
          <w:szCs w:val="24"/>
        </w:rPr>
        <w:t>), with the delicate challenge of using state monies and regulatory authority to stimulate voluntary, decentralized, competitive, and</w:t>
      </w:r>
      <w:r w:rsidR="00CC20BC">
        <w:rPr>
          <w:rFonts w:cs="Times New Roman"/>
          <w:szCs w:val="24"/>
        </w:rPr>
        <w:t xml:space="preserve"> efficient private investment (“Markets”</w:t>
      </w:r>
      <w:r>
        <w:rPr>
          <w:rFonts w:cs="Times New Roman"/>
          <w:szCs w:val="24"/>
        </w:rPr>
        <w:t>). The fights over BNDES</w:t>
      </w:r>
      <w:r w:rsidR="008F45E3">
        <w:rPr>
          <w:rFonts w:cs="Times New Roman"/>
          <w:szCs w:val="24"/>
        </w:rPr>
        <w:t xml:space="preserve"> operations </w:t>
      </w:r>
      <w:r>
        <w:rPr>
          <w:rFonts w:cs="Times New Roman"/>
          <w:szCs w:val="24"/>
        </w:rPr>
        <w:t xml:space="preserve">conveniently illustrate many of Brazil’s on-going debates over the pace, biases, and goals of mixed-capitalist economic growth in a middle-income, but </w:t>
      </w:r>
      <w:r w:rsidR="008F45E3">
        <w:rPr>
          <w:rFonts w:cs="Times New Roman"/>
          <w:szCs w:val="24"/>
        </w:rPr>
        <w:t xml:space="preserve">still </w:t>
      </w:r>
      <w:r>
        <w:rPr>
          <w:rFonts w:cs="Times New Roman"/>
          <w:szCs w:val="24"/>
        </w:rPr>
        <w:t>highly unequal, country.</w:t>
      </w:r>
    </w:p>
    <w:p w:rsidR="00D84DF4" w:rsidRPr="000A58DA" w:rsidRDefault="00D84DF4" w:rsidP="00081943">
      <w:pPr>
        <w:spacing w:line="480" w:lineRule="auto"/>
        <w:rPr>
          <w:rFonts w:cs="Times New Roman"/>
          <w:szCs w:val="24"/>
        </w:rPr>
      </w:pPr>
      <w:r>
        <w:rPr>
          <w:rFonts w:cs="Times New Roman"/>
          <w:szCs w:val="24"/>
        </w:rPr>
        <w:lastRenderedPageBreak/>
        <w:tab/>
      </w:r>
      <w:r w:rsidRPr="000A58DA">
        <w:rPr>
          <w:rFonts w:cs="Times New Roman"/>
          <w:szCs w:val="24"/>
        </w:rPr>
        <w:t>Section</w:t>
      </w:r>
      <w:r>
        <w:rPr>
          <w:rFonts w:cs="Times New Roman"/>
          <w:szCs w:val="24"/>
        </w:rPr>
        <w:t>s</w:t>
      </w:r>
      <w:r w:rsidRPr="000A58DA">
        <w:rPr>
          <w:rFonts w:cs="Times New Roman"/>
          <w:szCs w:val="24"/>
        </w:rPr>
        <w:t xml:space="preserve"> o</w:t>
      </w:r>
      <w:r>
        <w:rPr>
          <w:rFonts w:cs="Times New Roman"/>
          <w:szCs w:val="24"/>
        </w:rPr>
        <w:t xml:space="preserve">ne and two introduce the new </w:t>
      </w:r>
      <w:proofErr w:type="spellStart"/>
      <w:r>
        <w:rPr>
          <w:rFonts w:cs="Times New Roman"/>
          <w:szCs w:val="24"/>
        </w:rPr>
        <w:t>d</w:t>
      </w:r>
      <w:r w:rsidRPr="000A58DA">
        <w:rPr>
          <w:rFonts w:cs="Times New Roman"/>
          <w:szCs w:val="24"/>
        </w:rPr>
        <w:t>evelopmentalism</w:t>
      </w:r>
      <w:proofErr w:type="spellEnd"/>
      <w:r>
        <w:rPr>
          <w:rFonts w:cs="Times New Roman"/>
          <w:szCs w:val="24"/>
        </w:rPr>
        <w:t xml:space="preserve">, reasons for </w:t>
      </w:r>
      <w:r w:rsidR="008F45E3">
        <w:rPr>
          <w:rFonts w:cs="Times New Roman"/>
          <w:szCs w:val="24"/>
        </w:rPr>
        <w:t xml:space="preserve">the </w:t>
      </w:r>
      <w:r>
        <w:rPr>
          <w:rFonts w:cs="Times New Roman"/>
          <w:szCs w:val="24"/>
        </w:rPr>
        <w:t>focus on the BNDES,</w:t>
      </w:r>
      <w:r w:rsidRPr="000A58DA">
        <w:rPr>
          <w:rFonts w:cs="Times New Roman"/>
          <w:szCs w:val="24"/>
        </w:rPr>
        <w:t xml:space="preserve"> and </w:t>
      </w:r>
      <w:r>
        <w:rPr>
          <w:rFonts w:cs="Times New Roman"/>
          <w:szCs w:val="24"/>
        </w:rPr>
        <w:t xml:space="preserve">the public bank trilemma. </w:t>
      </w:r>
      <w:r w:rsidR="008F45E3">
        <w:rPr>
          <w:rFonts w:cs="Times New Roman"/>
          <w:szCs w:val="24"/>
        </w:rPr>
        <w:t xml:space="preserve">The next three sections </w:t>
      </w:r>
      <w:r>
        <w:rPr>
          <w:rFonts w:cs="Times New Roman"/>
          <w:szCs w:val="24"/>
        </w:rPr>
        <w:t xml:space="preserve">summarize </w:t>
      </w:r>
      <w:r w:rsidRPr="000A58DA">
        <w:rPr>
          <w:rFonts w:cs="Times New Roman"/>
          <w:szCs w:val="24"/>
        </w:rPr>
        <w:t xml:space="preserve">the </w:t>
      </w:r>
      <w:r>
        <w:rPr>
          <w:rFonts w:cs="Times New Roman"/>
          <w:szCs w:val="24"/>
        </w:rPr>
        <w:t>Bank’s history</w:t>
      </w:r>
      <w:r w:rsidRPr="000A58DA">
        <w:rPr>
          <w:rFonts w:cs="Times New Roman"/>
          <w:szCs w:val="24"/>
        </w:rPr>
        <w:t xml:space="preserve">, </w:t>
      </w:r>
      <w:r w:rsidR="00986255">
        <w:rPr>
          <w:rFonts w:cs="Times New Roman"/>
          <w:szCs w:val="24"/>
        </w:rPr>
        <w:t xml:space="preserve">then </w:t>
      </w:r>
      <w:r>
        <w:rPr>
          <w:rFonts w:cs="Times New Roman"/>
          <w:szCs w:val="24"/>
        </w:rPr>
        <w:t xml:space="preserve">review the evidence for the trilemma in recent debates over </w:t>
      </w:r>
      <w:r w:rsidRPr="000A58DA">
        <w:rPr>
          <w:rFonts w:cs="Times New Roman"/>
          <w:szCs w:val="24"/>
        </w:rPr>
        <w:t>Brazil’s external economic insertion</w:t>
      </w:r>
      <w:r w:rsidR="00CC20BC">
        <w:rPr>
          <w:rFonts w:cs="Times New Roman"/>
          <w:szCs w:val="24"/>
        </w:rPr>
        <w:t xml:space="preserve"> </w:t>
      </w:r>
      <w:r>
        <w:rPr>
          <w:rFonts w:cs="Times New Roman"/>
          <w:szCs w:val="24"/>
        </w:rPr>
        <w:t xml:space="preserve">and the BNDES’ </w:t>
      </w:r>
      <w:r w:rsidRPr="000A58DA">
        <w:rPr>
          <w:rFonts w:cs="Times New Roman"/>
          <w:szCs w:val="24"/>
        </w:rPr>
        <w:t>relationship with private</w:t>
      </w:r>
      <w:r>
        <w:rPr>
          <w:rFonts w:cs="Times New Roman"/>
          <w:szCs w:val="24"/>
        </w:rPr>
        <w:t xml:space="preserve"> banks and investo</w:t>
      </w:r>
      <w:r w:rsidR="00CC20BC">
        <w:rPr>
          <w:rFonts w:cs="Times New Roman"/>
          <w:szCs w:val="24"/>
        </w:rPr>
        <w:t>rs</w:t>
      </w:r>
      <w:r>
        <w:rPr>
          <w:rFonts w:cs="Times New Roman"/>
          <w:szCs w:val="24"/>
        </w:rPr>
        <w:t>.</w:t>
      </w:r>
      <w:r w:rsidRPr="000A58DA">
        <w:rPr>
          <w:rFonts w:cs="Times New Roman"/>
          <w:szCs w:val="24"/>
        </w:rPr>
        <w:t xml:space="preserve"> The conclusion</w:t>
      </w:r>
      <w:r w:rsidR="008F45E3">
        <w:rPr>
          <w:rFonts w:cs="Times New Roman"/>
          <w:szCs w:val="24"/>
        </w:rPr>
        <w:t xml:space="preserve"> comments on</w:t>
      </w:r>
      <w:r w:rsidR="005028A7">
        <w:rPr>
          <w:rFonts w:cs="Times New Roman"/>
          <w:szCs w:val="24"/>
        </w:rPr>
        <w:t xml:space="preserve"> </w:t>
      </w:r>
      <w:r w:rsidRPr="000A58DA">
        <w:rPr>
          <w:rFonts w:cs="Times New Roman"/>
          <w:szCs w:val="24"/>
        </w:rPr>
        <w:t>Brazil’s development model.</w:t>
      </w:r>
    </w:p>
    <w:p w:rsidR="00D84DF4" w:rsidRPr="000A58DA" w:rsidRDefault="00D84DF4" w:rsidP="00081943">
      <w:pPr>
        <w:spacing w:line="480" w:lineRule="auto"/>
        <w:rPr>
          <w:rFonts w:cs="Times New Roman"/>
          <w:szCs w:val="24"/>
        </w:rPr>
      </w:pPr>
      <w:r w:rsidRPr="000A58DA">
        <w:rPr>
          <w:rFonts w:cs="Times New Roman"/>
          <w:b/>
          <w:szCs w:val="24"/>
        </w:rPr>
        <w:t xml:space="preserve">I. </w:t>
      </w:r>
      <w:r>
        <w:rPr>
          <w:rFonts w:cs="Times New Roman"/>
          <w:b/>
          <w:szCs w:val="24"/>
        </w:rPr>
        <w:t xml:space="preserve">Brazil’s “new </w:t>
      </w:r>
      <w:proofErr w:type="spellStart"/>
      <w:r>
        <w:rPr>
          <w:rFonts w:cs="Times New Roman"/>
          <w:b/>
          <w:szCs w:val="24"/>
        </w:rPr>
        <w:t>d</w:t>
      </w:r>
      <w:r w:rsidRPr="000A58DA">
        <w:rPr>
          <w:rFonts w:cs="Times New Roman"/>
          <w:b/>
          <w:szCs w:val="24"/>
        </w:rPr>
        <w:t>evelopmentalisn</w:t>
      </w:r>
      <w:proofErr w:type="spellEnd"/>
      <w:r>
        <w:rPr>
          <w:rFonts w:cs="Times New Roman"/>
          <w:b/>
          <w:szCs w:val="24"/>
        </w:rPr>
        <w:t>”</w:t>
      </w:r>
      <w:r w:rsidRPr="000A58DA">
        <w:rPr>
          <w:rFonts w:cs="Times New Roman"/>
          <w:b/>
          <w:szCs w:val="24"/>
        </w:rPr>
        <w:t xml:space="preserve"> and the BNDES</w:t>
      </w:r>
    </w:p>
    <w:p w:rsidR="00081943" w:rsidRDefault="00D84DF4" w:rsidP="00081943">
      <w:pPr>
        <w:autoSpaceDE w:val="0"/>
        <w:autoSpaceDN w:val="0"/>
        <w:adjustRightInd w:val="0"/>
        <w:spacing w:line="480" w:lineRule="auto"/>
        <w:rPr>
          <w:rFonts w:cs="Times New Roman"/>
          <w:szCs w:val="24"/>
        </w:rPr>
      </w:pPr>
      <w:r w:rsidRPr="000A58DA">
        <w:rPr>
          <w:rFonts w:cs="Times New Roman"/>
          <w:szCs w:val="24"/>
        </w:rPr>
        <w:tab/>
      </w:r>
      <w:r>
        <w:rPr>
          <w:rFonts w:cs="Times New Roman"/>
          <w:szCs w:val="24"/>
        </w:rPr>
        <w:t xml:space="preserve">The old </w:t>
      </w:r>
      <w:proofErr w:type="spellStart"/>
      <w:r>
        <w:rPr>
          <w:rFonts w:cs="Times New Roman"/>
          <w:szCs w:val="24"/>
        </w:rPr>
        <w:t>developmentalism</w:t>
      </w:r>
      <w:proofErr w:type="spellEnd"/>
      <w:r>
        <w:rPr>
          <w:rFonts w:cs="Times New Roman"/>
          <w:szCs w:val="24"/>
        </w:rPr>
        <w:t xml:space="preserve"> in Brazil and Latin America was the import-substituting industrialization (ISI) of the 1950s through 1970s, which promised, but did not deliver, rapid catch-up with the wealthy countries through </w:t>
      </w:r>
      <w:r w:rsidR="009B3332">
        <w:rPr>
          <w:rFonts w:cs="Times New Roman"/>
          <w:szCs w:val="24"/>
        </w:rPr>
        <w:t xml:space="preserve">protected </w:t>
      </w:r>
      <w:r>
        <w:rPr>
          <w:rFonts w:cs="Times New Roman"/>
          <w:szCs w:val="24"/>
        </w:rPr>
        <w:t xml:space="preserve">industrial production for the home market. As contrasted to ISI, the new </w:t>
      </w:r>
      <w:proofErr w:type="spellStart"/>
      <w:r>
        <w:rPr>
          <w:rFonts w:cs="Times New Roman"/>
          <w:szCs w:val="24"/>
        </w:rPr>
        <w:t>developmenta</w:t>
      </w:r>
      <w:r w:rsidR="009B3332">
        <w:rPr>
          <w:rFonts w:cs="Times New Roman"/>
          <w:szCs w:val="24"/>
        </w:rPr>
        <w:t>lism</w:t>
      </w:r>
      <w:proofErr w:type="spellEnd"/>
      <w:r w:rsidR="009B3332">
        <w:rPr>
          <w:rFonts w:cs="Times New Roman"/>
          <w:szCs w:val="24"/>
        </w:rPr>
        <w:t xml:space="preserve"> (ND) of the 1990s through the present has</w:t>
      </w:r>
      <w:r>
        <w:rPr>
          <w:rFonts w:cs="Times New Roman"/>
          <w:szCs w:val="24"/>
        </w:rPr>
        <w:t xml:space="preserve"> emphasized macroeconomic stability (low inflation), greater participation in global markets, and reducing domestic inequality.</w:t>
      </w:r>
      <w:r w:rsidR="00081943" w:rsidRPr="000A58DA">
        <w:rPr>
          <w:rStyle w:val="EndnoteReference"/>
          <w:rFonts w:cs="Times New Roman"/>
          <w:szCs w:val="24"/>
        </w:rPr>
        <w:endnoteReference w:id="1"/>
      </w:r>
      <w:r w:rsidR="00081943">
        <w:rPr>
          <w:rFonts w:cs="Times New Roman"/>
          <w:szCs w:val="24"/>
        </w:rPr>
        <w:t xml:space="preserve"> Some prominent proponents of ND have championed, in addition, the need to rely on domestic savings rather than foreign loans or investment and, especially, to maintain a competitive (non-overvalued) exchange rate (</w:t>
      </w:r>
      <w:proofErr w:type="spellStart"/>
      <w:r w:rsidR="00081943">
        <w:rPr>
          <w:rFonts w:cs="Times New Roman"/>
          <w:szCs w:val="24"/>
        </w:rPr>
        <w:t>Bresser</w:t>
      </w:r>
      <w:proofErr w:type="spellEnd"/>
      <w:r w:rsidR="00081943">
        <w:rPr>
          <w:rFonts w:cs="Times New Roman"/>
          <w:szCs w:val="24"/>
        </w:rPr>
        <w:t xml:space="preserve"> Pereira 2009). The ND is not a sharp break with the past, sharing with the ISI-era </w:t>
      </w:r>
      <w:r w:rsidR="00081943" w:rsidRPr="000A58DA">
        <w:rPr>
          <w:rFonts w:cs="Times New Roman"/>
          <w:szCs w:val="24"/>
        </w:rPr>
        <w:t>a belief in the essential economic role of the state in identifying strategic goals and providing public goods</w:t>
      </w:r>
      <w:r w:rsidR="00081943">
        <w:rPr>
          <w:rFonts w:cs="Times New Roman"/>
          <w:szCs w:val="24"/>
        </w:rPr>
        <w:t>. In Brazil</w:t>
      </w:r>
      <w:r w:rsidR="00081943" w:rsidRPr="000A58DA">
        <w:rPr>
          <w:rFonts w:cs="Times New Roman"/>
          <w:szCs w:val="24"/>
        </w:rPr>
        <w:t xml:space="preserve">, </w:t>
      </w:r>
      <w:r w:rsidR="00081943">
        <w:rPr>
          <w:rFonts w:cs="Times New Roman"/>
          <w:szCs w:val="24"/>
        </w:rPr>
        <w:t xml:space="preserve">the state has played the central role in financing infrastructure since the early 1950s. Astonishingly, Brazil’s federal government, through the BNDES, also has been virtually the only source of medium-to-long term bank credit for private industry during the entire period from the late 1960s to the present. The BNDES has been central to each phase of Brazilian </w:t>
      </w:r>
      <w:proofErr w:type="spellStart"/>
      <w:r w:rsidR="00081943">
        <w:rPr>
          <w:rFonts w:cs="Times New Roman"/>
          <w:szCs w:val="24"/>
        </w:rPr>
        <w:t>developmentalism</w:t>
      </w:r>
      <w:proofErr w:type="spellEnd"/>
      <w:r w:rsidR="00081943">
        <w:rPr>
          <w:rFonts w:cs="Times New Roman"/>
          <w:szCs w:val="24"/>
        </w:rPr>
        <w:t>.</w:t>
      </w:r>
    </w:p>
    <w:p w:rsidR="00081943" w:rsidRDefault="00081943" w:rsidP="00081943">
      <w:pPr>
        <w:spacing w:line="480" w:lineRule="auto"/>
        <w:rPr>
          <w:rFonts w:cs="Times New Roman"/>
          <w:szCs w:val="24"/>
        </w:rPr>
      </w:pPr>
      <w:r w:rsidRPr="000A58DA">
        <w:rPr>
          <w:rFonts w:cs="Times New Roman"/>
          <w:szCs w:val="24"/>
        </w:rPr>
        <w:tab/>
        <w:t>Why adopt the BNDES as the symbol of the ND? First, the BNDES</w:t>
      </w:r>
      <w:r>
        <w:rPr>
          <w:rFonts w:cs="Times New Roman"/>
          <w:szCs w:val="24"/>
        </w:rPr>
        <w:t>, founded in 1952,</w:t>
      </w:r>
      <w:r w:rsidRPr="000A58DA">
        <w:rPr>
          <w:rFonts w:cs="Times New Roman"/>
          <w:szCs w:val="24"/>
        </w:rPr>
        <w:t xml:space="preserve"> </w:t>
      </w:r>
      <w:r>
        <w:rPr>
          <w:rFonts w:cs="Times New Roman"/>
          <w:szCs w:val="24"/>
        </w:rPr>
        <w:t xml:space="preserve">spans both the old and the new </w:t>
      </w:r>
      <w:proofErr w:type="spellStart"/>
      <w:r>
        <w:rPr>
          <w:rFonts w:cs="Times New Roman"/>
          <w:szCs w:val="24"/>
        </w:rPr>
        <w:t>developmentalism</w:t>
      </w:r>
      <w:proofErr w:type="spellEnd"/>
      <w:r>
        <w:rPr>
          <w:rFonts w:cs="Times New Roman"/>
          <w:szCs w:val="24"/>
        </w:rPr>
        <w:t>.</w:t>
      </w:r>
      <w:r w:rsidRPr="000A58DA">
        <w:rPr>
          <w:rStyle w:val="EndnoteReference"/>
          <w:rFonts w:cs="Times New Roman"/>
          <w:szCs w:val="24"/>
        </w:rPr>
        <w:endnoteReference w:id="2"/>
      </w:r>
      <w:r>
        <w:rPr>
          <w:rFonts w:cs="Times New Roman"/>
          <w:szCs w:val="24"/>
        </w:rPr>
        <w:t xml:space="preserve"> Second, it is a dominant institution that has recently become even larger. I</w:t>
      </w:r>
      <w:r w:rsidRPr="000A58DA">
        <w:rPr>
          <w:rFonts w:cs="Times New Roman"/>
          <w:szCs w:val="24"/>
        </w:rPr>
        <w:t xml:space="preserve">ts recent growth in annual loan disbursements, shown in nominal </w:t>
      </w:r>
      <w:proofErr w:type="spellStart"/>
      <w:r w:rsidRPr="000A58DA">
        <w:rPr>
          <w:rFonts w:cs="Times New Roman"/>
          <w:i/>
          <w:szCs w:val="24"/>
        </w:rPr>
        <w:lastRenderedPageBreak/>
        <w:t>reais</w:t>
      </w:r>
      <w:proofErr w:type="spellEnd"/>
      <w:r w:rsidRPr="000A58DA">
        <w:rPr>
          <w:rFonts w:cs="Times New Roman"/>
          <w:szCs w:val="24"/>
        </w:rPr>
        <w:t xml:space="preserve"> in Figure 1, has been truly extraordinary. In 2010 the annual flow of gross new BNDES loans briefly reached 4.6 percent of GDP, before falling back to “only” 3 percent in 2011.</w:t>
      </w:r>
      <w:r w:rsidRPr="000A58DA">
        <w:rPr>
          <w:rStyle w:val="EndnoteReference"/>
          <w:rFonts w:cs="Times New Roman"/>
          <w:szCs w:val="24"/>
        </w:rPr>
        <w:endnoteReference w:id="3"/>
      </w:r>
      <w:r w:rsidRPr="000A58DA">
        <w:rPr>
          <w:rFonts w:cs="Times New Roman"/>
          <w:szCs w:val="24"/>
        </w:rPr>
        <w:t xml:space="preserve"> As of late 2009, the BNDES accounted for 19 percent of the stock of all outstanding loans from the entire national financial system to households and firms in Brazil. </w:t>
      </w:r>
      <w:r>
        <w:rPr>
          <w:rFonts w:cs="Times New Roman"/>
          <w:szCs w:val="24"/>
        </w:rPr>
        <w:t>The B</w:t>
      </w:r>
      <w:r w:rsidRPr="000A58DA">
        <w:rPr>
          <w:rFonts w:cs="Times New Roman"/>
          <w:szCs w:val="24"/>
        </w:rPr>
        <w:t xml:space="preserve">ank also supports Brazilian businesses </w:t>
      </w:r>
      <w:r>
        <w:rPr>
          <w:rFonts w:cs="Times New Roman"/>
          <w:szCs w:val="24"/>
        </w:rPr>
        <w:t xml:space="preserve">through </w:t>
      </w:r>
      <w:r w:rsidRPr="000A58DA">
        <w:rPr>
          <w:rFonts w:cs="Times New Roman"/>
          <w:szCs w:val="24"/>
        </w:rPr>
        <w:t>consulting and long-term financing through equity particip</w:t>
      </w:r>
      <w:r>
        <w:rPr>
          <w:rFonts w:cs="Times New Roman"/>
          <w:szCs w:val="24"/>
        </w:rPr>
        <w:t xml:space="preserve">ation. By end 2011, the bank held assets worth 15 percent of Brazil’s </w:t>
      </w:r>
      <w:r w:rsidRPr="000A58DA">
        <w:rPr>
          <w:rFonts w:cs="Times New Roman"/>
          <w:szCs w:val="24"/>
        </w:rPr>
        <w:t>R$4.14 trillion</w:t>
      </w:r>
      <w:r>
        <w:rPr>
          <w:rFonts w:cs="Times New Roman"/>
          <w:szCs w:val="24"/>
        </w:rPr>
        <w:t xml:space="preserve"> (about US$1.44 trillion) GDP, including loans (10 percent of GDP), </w:t>
      </w:r>
      <w:r w:rsidRPr="000A58DA">
        <w:rPr>
          <w:rFonts w:cs="Times New Roman"/>
          <w:szCs w:val="24"/>
        </w:rPr>
        <w:t xml:space="preserve">corporate shares and debt securities </w:t>
      </w:r>
      <w:r>
        <w:rPr>
          <w:rFonts w:cs="Times New Roman"/>
          <w:szCs w:val="24"/>
        </w:rPr>
        <w:t>(</w:t>
      </w:r>
      <w:r w:rsidRPr="000A58DA">
        <w:rPr>
          <w:rFonts w:cs="Times New Roman"/>
          <w:szCs w:val="24"/>
        </w:rPr>
        <w:t>another 3 percent</w:t>
      </w:r>
      <w:r>
        <w:rPr>
          <w:rFonts w:cs="Times New Roman"/>
          <w:szCs w:val="24"/>
        </w:rPr>
        <w:t>)</w:t>
      </w:r>
      <w:r w:rsidRPr="000A58DA">
        <w:rPr>
          <w:rFonts w:cs="Times New Roman"/>
          <w:szCs w:val="24"/>
        </w:rPr>
        <w:t xml:space="preserve">, and </w:t>
      </w:r>
      <w:r>
        <w:rPr>
          <w:rFonts w:cs="Times New Roman"/>
          <w:szCs w:val="24"/>
        </w:rPr>
        <w:t>other assets and investments, including Brazilian public debt (2 percent).</w:t>
      </w:r>
    </w:p>
    <w:p w:rsidR="00081943" w:rsidRPr="000A58DA" w:rsidRDefault="00081943" w:rsidP="00081943">
      <w:pPr>
        <w:spacing w:line="480" w:lineRule="auto"/>
        <w:jc w:val="center"/>
        <w:rPr>
          <w:rFonts w:cs="Times New Roman"/>
          <w:szCs w:val="24"/>
        </w:rPr>
      </w:pPr>
      <w:r>
        <w:rPr>
          <w:rFonts w:cs="Times New Roman"/>
          <w:szCs w:val="24"/>
        </w:rPr>
        <w:t>&lt; Figure 1 about here &gt;</w:t>
      </w:r>
    </w:p>
    <w:p w:rsidR="00081943" w:rsidRPr="000A58DA" w:rsidRDefault="00081943" w:rsidP="00081943">
      <w:pPr>
        <w:spacing w:line="480" w:lineRule="auto"/>
        <w:rPr>
          <w:rFonts w:cs="Times New Roman"/>
          <w:szCs w:val="24"/>
        </w:rPr>
      </w:pPr>
      <w:r w:rsidRPr="000A58DA">
        <w:rPr>
          <w:rFonts w:cs="Times New Roman"/>
          <w:szCs w:val="24"/>
        </w:rPr>
        <w:tab/>
        <w:t xml:space="preserve">Brazil’s BNDES also looms large in comparative international perspective. As shown in Table 1, the BNDES, although legally limited to support only Brazilian companies and their customers, is significantly larger than the Inter-American Development Bank, and roughly equivalent in size to the World Bank. Although its loan portfolio </w:t>
      </w:r>
      <w:r w:rsidRPr="000A58DA">
        <w:rPr>
          <w:rFonts w:cs="Times New Roman"/>
          <w:i/>
          <w:szCs w:val="24"/>
        </w:rPr>
        <w:t xml:space="preserve">per se </w:t>
      </w:r>
      <w:r w:rsidRPr="000A58DA">
        <w:rPr>
          <w:rFonts w:cs="Times New Roman"/>
          <w:szCs w:val="24"/>
        </w:rPr>
        <w:t xml:space="preserve">is only half the size of that of the China Development Bank, BNDES President Luciano </w:t>
      </w:r>
      <w:proofErr w:type="spellStart"/>
      <w:r w:rsidRPr="000A58DA">
        <w:rPr>
          <w:rFonts w:cs="Times New Roman"/>
          <w:szCs w:val="24"/>
        </w:rPr>
        <w:t>Coutinho</w:t>
      </w:r>
      <w:proofErr w:type="spellEnd"/>
      <w:r w:rsidRPr="000A58DA">
        <w:rPr>
          <w:rFonts w:cs="Times New Roman"/>
          <w:szCs w:val="24"/>
        </w:rPr>
        <w:t xml:space="preserve"> confidently notes that this understates BNDES’ influence and versatility: “ ‘The Chinese and South Korean </w:t>
      </w:r>
      <w:r>
        <w:rPr>
          <w:rFonts w:cs="Times New Roman"/>
          <w:szCs w:val="24"/>
        </w:rPr>
        <w:t>d</w:t>
      </w:r>
      <w:r w:rsidRPr="000A58DA">
        <w:rPr>
          <w:rFonts w:cs="Times New Roman"/>
          <w:szCs w:val="24"/>
        </w:rPr>
        <w:t xml:space="preserve">evelopment banks lend more than us, but they only do </w:t>
      </w:r>
      <w:proofErr w:type="spellStart"/>
      <w:r w:rsidRPr="000A58DA">
        <w:rPr>
          <w:rFonts w:cs="Times New Roman"/>
          <w:szCs w:val="24"/>
        </w:rPr>
        <w:t>monolines</w:t>
      </w:r>
      <w:proofErr w:type="spellEnd"/>
      <w:r w:rsidRPr="000A58DA">
        <w:rPr>
          <w:rFonts w:cs="Times New Roman"/>
          <w:szCs w:val="24"/>
        </w:rPr>
        <w:t>. …We do credit, we support capital markets, and we operate through the private banking sector itself.’ ” (Wheatley 2009).</w:t>
      </w:r>
    </w:p>
    <w:p w:rsidR="00081943" w:rsidRPr="000A58DA" w:rsidRDefault="00081943" w:rsidP="00081943">
      <w:pPr>
        <w:spacing w:line="480" w:lineRule="auto"/>
        <w:jc w:val="center"/>
        <w:rPr>
          <w:rFonts w:cs="Times New Roman"/>
          <w:szCs w:val="24"/>
        </w:rPr>
      </w:pPr>
      <w:r w:rsidRPr="000A58DA">
        <w:rPr>
          <w:rFonts w:cs="Times New Roman"/>
          <w:szCs w:val="24"/>
        </w:rPr>
        <w:t>&lt; Table 1 about here &gt;</w:t>
      </w:r>
    </w:p>
    <w:p w:rsidR="00081943" w:rsidRDefault="00081943" w:rsidP="00081943">
      <w:pPr>
        <w:autoSpaceDE w:val="0"/>
        <w:autoSpaceDN w:val="0"/>
        <w:adjustRightInd w:val="0"/>
        <w:spacing w:line="480" w:lineRule="auto"/>
        <w:rPr>
          <w:rFonts w:cs="Times New Roman"/>
          <w:szCs w:val="24"/>
        </w:rPr>
      </w:pPr>
      <w:r w:rsidRPr="000A58DA">
        <w:rPr>
          <w:rFonts w:cs="Times New Roman"/>
          <w:szCs w:val="24"/>
        </w:rPr>
        <w:tab/>
      </w:r>
      <w:r>
        <w:rPr>
          <w:rFonts w:cs="Times New Roman"/>
          <w:szCs w:val="24"/>
        </w:rPr>
        <w:t xml:space="preserve">Finally, there are clear sub-periods within Brazil’s new </w:t>
      </w:r>
      <w:proofErr w:type="spellStart"/>
      <w:r>
        <w:rPr>
          <w:rFonts w:cs="Times New Roman"/>
          <w:szCs w:val="24"/>
        </w:rPr>
        <w:t>developmentalism</w:t>
      </w:r>
      <w:proofErr w:type="spellEnd"/>
      <w:r>
        <w:rPr>
          <w:rFonts w:cs="Times New Roman"/>
          <w:szCs w:val="24"/>
        </w:rPr>
        <w:t xml:space="preserve">. Thus, some observers term </w:t>
      </w:r>
      <w:r w:rsidRPr="000A58DA">
        <w:rPr>
          <w:rFonts w:cs="Times New Roman"/>
          <w:szCs w:val="24"/>
        </w:rPr>
        <w:t xml:space="preserve">the governments of Presidents Fernando </w:t>
      </w:r>
      <w:proofErr w:type="spellStart"/>
      <w:r w:rsidRPr="000A58DA">
        <w:rPr>
          <w:rFonts w:cs="Times New Roman"/>
          <w:szCs w:val="24"/>
        </w:rPr>
        <w:t>Collor</w:t>
      </w:r>
      <w:proofErr w:type="spellEnd"/>
      <w:r w:rsidRPr="000A58DA">
        <w:rPr>
          <w:rFonts w:cs="Times New Roman"/>
          <w:szCs w:val="24"/>
        </w:rPr>
        <w:t xml:space="preserve">, </w:t>
      </w:r>
      <w:proofErr w:type="spellStart"/>
      <w:r w:rsidRPr="000A58DA">
        <w:rPr>
          <w:rFonts w:cs="Times New Roman"/>
          <w:szCs w:val="24"/>
        </w:rPr>
        <w:t>Itamar</w:t>
      </w:r>
      <w:proofErr w:type="spellEnd"/>
      <w:r w:rsidRPr="000A58DA">
        <w:rPr>
          <w:rFonts w:cs="Times New Roman"/>
          <w:szCs w:val="24"/>
        </w:rPr>
        <w:t xml:space="preserve"> Franco, and Fernando Henrique Cardoso </w:t>
      </w:r>
      <w:r>
        <w:rPr>
          <w:rFonts w:cs="Times New Roman"/>
          <w:szCs w:val="24"/>
        </w:rPr>
        <w:t xml:space="preserve">in the 1990s through 2002 </w:t>
      </w:r>
      <w:r w:rsidRPr="000A58DA">
        <w:rPr>
          <w:rFonts w:cs="Times New Roman"/>
          <w:szCs w:val="24"/>
        </w:rPr>
        <w:t xml:space="preserve">“neoliberal,” </w:t>
      </w:r>
      <w:r>
        <w:rPr>
          <w:rFonts w:cs="Times New Roman"/>
          <w:szCs w:val="24"/>
        </w:rPr>
        <w:t>because of their emphasis on fiscal responsibility, privatization, and freer capital movements,</w:t>
      </w:r>
      <w:r w:rsidRPr="008A34B7">
        <w:rPr>
          <w:rFonts w:cs="Times New Roman"/>
          <w:szCs w:val="24"/>
        </w:rPr>
        <w:t xml:space="preserve"> </w:t>
      </w:r>
      <w:r>
        <w:rPr>
          <w:rFonts w:cs="Times New Roman"/>
          <w:szCs w:val="24"/>
        </w:rPr>
        <w:t xml:space="preserve">reserving the “new </w:t>
      </w:r>
      <w:proofErr w:type="spellStart"/>
      <w:r>
        <w:rPr>
          <w:rFonts w:cs="Times New Roman"/>
          <w:szCs w:val="24"/>
        </w:rPr>
        <w:t>developmentalist</w:t>
      </w:r>
      <w:proofErr w:type="spellEnd"/>
      <w:r>
        <w:rPr>
          <w:rFonts w:cs="Times New Roman"/>
          <w:szCs w:val="24"/>
        </w:rPr>
        <w:t xml:space="preserve">” label for the post 2002 period of </w:t>
      </w:r>
      <w:r w:rsidRPr="000A58DA">
        <w:rPr>
          <w:rFonts w:cs="Times New Roman"/>
          <w:szCs w:val="24"/>
        </w:rPr>
        <w:t xml:space="preserve">PT Presidents </w:t>
      </w:r>
      <w:proofErr w:type="spellStart"/>
      <w:r w:rsidRPr="000A58DA">
        <w:rPr>
          <w:rFonts w:cs="Times New Roman"/>
          <w:szCs w:val="24"/>
        </w:rPr>
        <w:t>Luiz</w:t>
      </w:r>
      <w:proofErr w:type="spellEnd"/>
      <w:r w:rsidRPr="000A58DA">
        <w:rPr>
          <w:rFonts w:cs="Times New Roman"/>
          <w:szCs w:val="24"/>
        </w:rPr>
        <w:t xml:space="preserve"> </w:t>
      </w:r>
      <w:proofErr w:type="spellStart"/>
      <w:r w:rsidRPr="000A58DA">
        <w:rPr>
          <w:rFonts w:cs="Times New Roman"/>
          <w:szCs w:val="24"/>
        </w:rPr>
        <w:t>Inácio</w:t>
      </w:r>
      <w:proofErr w:type="spellEnd"/>
      <w:r w:rsidRPr="000A58DA">
        <w:rPr>
          <w:rFonts w:cs="Times New Roman"/>
          <w:szCs w:val="24"/>
        </w:rPr>
        <w:t xml:space="preserve"> Lula da Silva and </w:t>
      </w:r>
      <w:proofErr w:type="spellStart"/>
      <w:r w:rsidRPr="000A58DA">
        <w:rPr>
          <w:rFonts w:cs="Times New Roman"/>
          <w:szCs w:val="24"/>
        </w:rPr>
        <w:t>Dilma</w:t>
      </w:r>
      <w:proofErr w:type="spellEnd"/>
      <w:r w:rsidRPr="000A58DA">
        <w:rPr>
          <w:rFonts w:cs="Times New Roman"/>
          <w:szCs w:val="24"/>
        </w:rPr>
        <w:t xml:space="preserve"> </w:t>
      </w:r>
      <w:proofErr w:type="spellStart"/>
      <w:r w:rsidRPr="000A58DA">
        <w:rPr>
          <w:rFonts w:cs="Times New Roman"/>
          <w:szCs w:val="24"/>
        </w:rPr>
        <w:t>Rousseff</w:t>
      </w:r>
      <w:proofErr w:type="spellEnd"/>
      <w:r>
        <w:rPr>
          <w:rFonts w:cs="Times New Roman"/>
          <w:szCs w:val="24"/>
        </w:rPr>
        <w:t xml:space="preserve"> </w:t>
      </w:r>
      <w:r>
        <w:rPr>
          <w:rFonts w:cs="Times New Roman"/>
          <w:szCs w:val="24"/>
        </w:rPr>
        <w:lastRenderedPageBreak/>
        <w:t xml:space="preserve">(von </w:t>
      </w:r>
      <w:proofErr w:type="spellStart"/>
      <w:r>
        <w:rPr>
          <w:rFonts w:cs="Times New Roman"/>
          <w:szCs w:val="24"/>
        </w:rPr>
        <w:t>Mettenheim</w:t>
      </w:r>
      <w:proofErr w:type="spellEnd"/>
      <w:r>
        <w:rPr>
          <w:rFonts w:cs="Times New Roman"/>
          <w:szCs w:val="24"/>
        </w:rPr>
        <w:t xml:space="preserve"> 2010).  In my view, the </w:t>
      </w:r>
      <w:proofErr w:type="spellStart"/>
      <w:r>
        <w:rPr>
          <w:rFonts w:cs="Times New Roman"/>
          <w:szCs w:val="24"/>
        </w:rPr>
        <w:t>Collor</w:t>
      </w:r>
      <w:proofErr w:type="spellEnd"/>
      <w:r>
        <w:rPr>
          <w:rFonts w:cs="Times New Roman"/>
          <w:szCs w:val="24"/>
        </w:rPr>
        <w:t xml:space="preserve"> to Cardoso period was clearly pro-market (Armijo and </w:t>
      </w:r>
      <w:proofErr w:type="spellStart"/>
      <w:r>
        <w:rPr>
          <w:rFonts w:cs="Times New Roman"/>
          <w:szCs w:val="24"/>
        </w:rPr>
        <w:t>Faucher</w:t>
      </w:r>
      <w:proofErr w:type="spellEnd"/>
      <w:r>
        <w:rPr>
          <w:rFonts w:cs="Times New Roman"/>
          <w:szCs w:val="24"/>
        </w:rPr>
        <w:t xml:space="preserve"> 2002), yet Brazil’s policies were less ideological and extreme than contemporaneous reforms elsewhere in Latin America. There has been </w:t>
      </w:r>
      <w:r w:rsidRPr="000A58DA">
        <w:rPr>
          <w:rFonts w:cs="Times New Roman"/>
          <w:szCs w:val="24"/>
        </w:rPr>
        <w:t>sub</w:t>
      </w:r>
      <w:r>
        <w:rPr>
          <w:rFonts w:cs="Times New Roman"/>
          <w:szCs w:val="24"/>
        </w:rPr>
        <w:t>stantial continuity in Brazil’s ND</w:t>
      </w:r>
      <w:r w:rsidRPr="000A58DA">
        <w:rPr>
          <w:rFonts w:cs="Times New Roman"/>
          <w:szCs w:val="24"/>
        </w:rPr>
        <w:t xml:space="preserve"> economic policymaking, as practiced if not always as </w:t>
      </w:r>
      <w:r>
        <w:rPr>
          <w:rFonts w:cs="Times New Roman"/>
          <w:szCs w:val="24"/>
        </w:rPr>
        <w:t xml:space="preserve">articulated, </w:t>
      </w:r>
      <w:r w:rsidRPr="000A58DA">
        <w:rPr>
          <w:rFonts w:cs="Times New Roman"/>
          <w:szCs w:val="24"/>
        </w:rPr>
        <w:t>from the early 1990s through the present.</w:t>
      </w:r>
      <w:r>
        <w:rPr>
          <w:rFonts w:cs="Times New Roman"/>
          <w:szCs w:val="24"/>
        </w:rPr>
        <w:t xml:space="preserve"> Partisan differences within the post-1990</w:t>
      </w:r>
      <w:r w:rsidRPr="000A58DA">
        <w:rPr>
          <w:rFonts w:cs="Times New Roman"/>
          <w:szCs w:val="24"/>
        </w:rPr>
        <w:t xml:space="preserve"> consensus, although they exist, look more important from within the country than from without.</w:t>
      </w:r>
      <w:r>
        <w:rPr>
          <w:rFonts w:cs="Times New Roman"/>
          <w:szCs w:val="24"/>
        </w:rPr>
        <w:t xml:space="preserve"> Nonetheless, </w:t>
      </w:r>
    </w:p>
    <w:p w:rsidR="00081943" w:rsidRPr="000A58DA" w:rsidRDefault="00081943" w:rsidP="00081943">
      <w:pPr>
        <w:spacing w:line="480" w:lineRule="auto"/>
        <w:rPr>
          <w:rFonts w:cs="Times New Roman"/>
          <w:szCs w:val="24"/>
        </w:rPr>
      </w:pPr>
      <w:r w:rsidRPr="000A58DA">
        <w:rPr>
          <w:rFonts w:cs="Times New Roman"/>
          <w:szCs w:val="24"/>
        </w:rPr>
        <w:t>topical controversies over the future trajectory of the BNDES</w:t>
      </w:r>
      <w:r>
        <w:rPr>
          <w:rFonts w:cs="Times New Roman"/>
          <w:szCs w:val="24"/>
        </w:rPr>
        <w:t xml:space="preserve"> </w:t>
      </w:r>
      <w:r w:rsidRPr="000A58DA">
        <w:rPr>
          <w:rFonts w:cs="Times New Roman"/>
          <w:szCs w:val="24"/>
        </w:rPr>
        <w:t xml:space="preserve">go to the heart of important nuances currently being debated within Brazil, within the larger </w:t>
      </w:r>
      <w:r>
        <w:rPr>
          <w:rFonts w:cs="Times New Roman"/>
          <w:szCs w:val="24"/>
        </w:rPr>
        <w:t xml:space="preserve">ND </w:t>
      </w:r>
      <w:r w:rsidRPr="000A58DA">
        <w:rPr>
          <w:rFonts w:cs="Times New Roman"/>
          <w:szCs w:val="24"/>
        </w:rPr>
        <w:t>consensus.</w:t>
      </w:r>
      <w:r>
        <w:rPr>
          <w:rFonts w:cs="Times New Roman"/>
          <w:szCs w:val="24"/>
        </w:rPr>
        <w:t xml:space="preserve"> The politics of the BNDES encapsulate arguments about the country’s future.</w:t>
      </w:r>
    </w:p>
    <w:p w:rsidR="00081943" w:rsidRPr="000A58DA" w:rsidRDefault="00081943" w:rsidP="00081943">
      <w:pPr>
        <w:spacing w:line="480" w:lineRule="auto"/>
        <w:rPr>
          <w:rFonts w:cs="Times New Roman"/>
          <w:szCs w:val="24"/>
        </w:rPr>
      </w:pPr>
      <w:r w:rsidRPr="000A58DA">
        <w:rPr>
          <w:rFonts w:cs="Times New Roman"/>
          <w:b/>
          <w:szCs w:val="24"/>
        </w:rPr>
        <w:t>II. Th</w:t>
      </w:r>
      <w:r>
        <w:rPr>
          <w:rFonts w:cs="Times New Roman"/>
          <w:b/>
          <w:szCs w:val="24"/>
        </w:rPr>
        <w:t xml:space="preserve">e </w:t>
      </w:r>
      <w:r w:rsidRPr="000A58DA">
        <w:rPr>
          <w:rFonts w:cs="Times New Roman"/>
          <w:b/>
          <w:szCs w:val="24"/>
        </w:rPr>
        <w:t>public bank trilemma</w:t>
      </w:r>
    </w:p>
    <w:p w:rsidR="00081943" w:rsidRPr="000A58DA" w:rsidRDefault="00081943" w:rsidP="00081943">
      <w:pPr>
        <w:spacing w:line="480" w:lineRule="auto"/>
        <w:rPr>
          <w:rFonts w:cs="Times New Roman"/>
          <w:szCs w:val="24"/>
        </w:rPr>
      </w:pPr>
      <w:r>
        <w:rPr>
          <w:rFonts w:cs="Times New Roman"/>
          <w:szCs w:val="24"/>
        </w:rPr>
        <w:tab/>
        <w:t>As one of the world’s largest development banks, the BNDES illustrates what I term the “public bank trilemma,” which is particularly acute for economic policymakers in developing countries seeking rapid industrial catch-up. The public bank trilemma is similar to the better known “central bank [regulatory] dilemma.”</w:t>
      </w:r>
      <w:r w:rsidR="001A4C9E">
        <w:rPr>
          <w:rStyle w:val="EndnoteReference"/>
          <w:rFonts w:cs="Times New Roman"/>
          <w:szCs w:val="24"/>
        </w:rPr>
        <w:endnoteReference w:id="4"/>
      </w:r>
      <w:r>
        <w:rPr>
          <w:rFonts w:cs="Times New Roman"/>
          <w:szCs w:val="24"/>
        </w:rPr>
        <w:t xml:space="preserve"> </w:t>
      </w:r>
      <w:r w:rsidRPr="000A58DA">
        <w:rPr>
          <w:rFonts w:cs="Times New Roman"/>
          <w:szCs w:val="24"/>
        </w:rPr>
        <w:t>On the one hand, it is accepted wisdom that central banks should be independent of the political authorities</w:t>
      </w:r>
      <w:r w:rsidRPr="000A58DA">
        <w:rPr>
          <w:rFonts w:cs="Times New Roman"/>
          <w:b/>
          <w:szCs w:val="24"/>
        </w:rPr>
        <w:t xml:space="preserve"> </w:t>
      </w:r>
      <w:r w:rsidRPr="000A58DA">
        <w:rPr>
          <w:rFonts w:cs="Times New Roman"/>
          <w:szCs w:val="24"/>
        </w:rPr>
        <w:t>in carrying out their day to day policy implementation of monetary policy (</w:t>
      </w:r>
      <w:proofErr w:type="spellStart"/>
      <w:r>
        <w:rPr>
          <w:rFonts w:cs="Times New Roman"/>
          <w:szCs w:val="24"/>
        </w:rPr>
        <w:t>Goodhart</w:t>
      </w:r>
      <w:proofErr w:type="spellEnd"/>
      <w:r>
        <w:rPr>
          <w:rFonts w:cs="Times New Roman"/>
          <w:szCs w:val="24"/>
        </w:rPr>
        <w:t xml:space="preserve"> 1990; </w:t>
      </w:r>
      <w:r w:rsidRPr="000A58DA">
        <w:rPr>
          <w:rFonts w:cs="Times New Roman"/>
          <w:szCs w:val="24"/>
        </w:rPr>
        <w:t>Bernhard, Broz, and Clark, eds. 2003). In this way they can resist pressures to sacrifice price stability for electoral expediency, as by easing liquidity in the months prior to elections, generating the infamous “political-business cycle.” Yet on the other hand, monetary policy is not purely a technical matter. Only the legitimate political aut</w:t>
      </w:r>
      <w:r>
        <w:rPr>
          <w:rFonts w:cs="Times New Roman"/>
          <w:szCs w:val="24"/>
        </w:rPr>
        <w:t xml:space="preserve">horities can decide whether </w:t>
      </w:r>
      <w:r w:rsidRPr="000A58DA">
        <w:rPr>
          <w:rFonts w:cs="Times New Roman"/>
          <w:szCs w:val="24"/>
        </w:rPr>
        <w:t xml:space="preserve">central bank governors should target only inflation, or also should consider </w:t>
      </w:r>
      <w:r>
        <w:rPr>
          <w:rFonts w:cs="Times New Roman"/>
          <w:szCs w:val="24"/>
        </w:rPr>
        <w:t xml:space="preserve">how </w:t>
      </w:r>
      <w:r w:rsidRPr="000A58DA">
        <w:rPr>
          <w:rFonts w:cs="Times New Roman"/>
          <w:szCs w:val="24"/>
        </w:rPr>
        <w:t xml:space="preserve">money and credit aggregates </w:t>
      </w:r>
      <w:r>
        <w:rPr>
          <w:rFonts w:cs="Times New Roman"/>
          <w:szCs w:val="24"/>
        </w:rPr>
        <w:t xml:space="preserve">influence </w:t>
      </w:r>
      <w:r w:rsidRPr="000A58DA">
        <w:rPr>
          <w:rFonts w:cs="Times New Roman"/>
          <w:szCs w:val="24"/>
        </w:rPr>
        <w:t xml:space="preserve">other outcomes, such as unemployment or the nation’s exchange rate. Moreover, it cannot be assumed that central bankers, like other experts, have no interests and preferences of their own—which may or may not coincide with </w:t>
      </w:r>
      <w:r w:rsidRPr="000A58DA">
        <w:rPr>
          <w:rFonts w:cs="Times New Roman"/>
          <w:szCs w:val="24"/>
        </w:rPr>
        <w:lastRenderedPageBreak/>
        <w:t xml:space="preserve">those of the larger body </w:t>
      </w:r>
      <w:proofErr w:type="spellStart"/>
      <w:r w:rsidRPr="000A58DA">
        <w:rPr>
          <w:rFonts w:cs="Times New Roman"/>
          <w:szCs w:val="24"/>
        </w:rPr>
        <w:t>politik</w:t>
      </w:r>
      <w:proofErr w:type="spellEnd"/>
      <w:r w:rsidRPr="000A58DA">
        <w:rPr>
          <w:rFonts w:cs="Times New Roman"/>
          <w:szCs w:val="24"/>
        </w:rPr>
        <w:t>. For example, central bankers typically come from, and share in an epistemic community with, private bankers and financiers, a circumstance that should skew their preferences toward low inflation at all costs, even when they are asked to consider growth as well (Epstein 1992; Henning 1994). The central bank regulatory dilemma is thus that of balancing the imperatives of independ</w:t>
      </w:r>
      <w:r>
        <w:rPr>
          <w:rFonts w:cs="Times New Roman"/>
          <w:szCs w:val="24"/>
        </w:rPr>
        <w:t>ence of the technical experts (“Expertise”</w:t>
      </w:r>
      <w:r w:rsidRPr="000A58DA">
        <w:rPr>
          <w:rFonts w:cs="Times New Roman"/>
          <w:szCs w:val="24"/>
        </w:rPr>
        <w:t>) with oversight and goal-setting by the legitimate, democ</w:t>
      </w:r>
      <w:r>
        <w:rPr>
          <w:rFonts w:cs="Times New Roman"/>
          <w:szCs w:val="24"/>
        </w:rPr>
        <w:t>ratically-chosen, authorities (“Democracy”</w:t>
      </w:r>
      <w:r w:rsidRPr="000A58DA">
        <w:rPr>
          <w:rFonts w:cs="Times New Roman"/>
          <w:szCs w:val="24"/>
        </w:rPr>
        <w:t>).</w:t>
      </w:r>
    </w:p>
    <w:p w:rsidR="00081943" w:rsidRPr="000A58DA" w:rsidRDefault="00081943" w:rsidP="00081943">
      <w:pPr>
        <w:spacing w:line="480" w:lineRule="auto"/>
        <w:rPr>
          <w:rFonts w:cs="Times New Roman"/>
          <w:szCs w:val="24"/>
        </w:rPr>
      </w:pPr>
      <w:r w:rsidRPr="000A58DA">
        <w:rPr>
          <w:rFonts w:cs="Times New Roman"/>
          <w:szCs w:val="24"/>
        </w:rPr>
        <w:tab/>
        <w:t>The challenge of regulating a public bank in any modern mixed-capitalist economy is more complex still (</w:t>
      </w:r>
      <w:proofErr w:type="spellStart"/>
      <w:r w:rsidRPr="000A58DA">
        <w:rPr>
          <w:rFonts w:cs="Times New Roman"/>
          <w:szCs w:val="24"/>
        </w:rPr>
        <w:t>Caprio</w:t>
      </w:r>
      <w:proofErr w:type="spellEnd"/>
      <w:r w:rsidRPr="000A58DA">
        <w:rPr>
          <w:rFonts w:cs="Times New Roman"/>
          <w:szCs w:val="24"/>
        </w:rPr>
        <w:t xml:space="preserve"> et al. 2005; </w:t>
      </w:r>
      <w:proofErr w:type="spellStart"/>
      <w:r w:rsidRPr="000A58DA">
        <w:rPr>
          <w:rFonts w:cs="Times New Roman"/>
          <w:szCs w:val="24"/>
        </w:rPr>
        <w:t>Bonney</w:t>
      </w:r>
      <w:proofErr w:type="spellEnd"/>
      <w:r w:rsidRPr="000A58DA">
        <w:rPr>
          <w:rFonts w:cs="Times New Roman"/>
          <w:szCs w:val="24"/>
        </w:rPr>
        <w:t xml:space="preserve">, ed. 1995; Allen and Gale 2000; </w:t>
      </w:r>
      <w:proofErr w:type="spellStart"/>
      <w:r w:rsidRPr="000A58DA">
        <w:rPr>
          <w:rFonts w:cs="Times New Roman"/>
          <w:szCs w:val="24"/>
        </w:rPr>
        <w:t>Aghion</w:t>
      </w:r>
      <w:proofErr w:type="spellEnd"/>
      <w:r w:rsidRPr="000A58DA">
        <w:rPr>
          <w:rFonts w:cs="Times New Roman"/>
          <w:szCs w:val="24"/>
        </w:rPr>
        <w:t xml:space="preserve"> 1999; </w:t>
      </w:r>
      <w:proofErr w:type="spellStart"/>
      <w:r w:rsidRPr="000A58DA">
        <w:rPr>
          <w:rFonts w:cs="Times New Roman"/>
          <w:szCs w:val="24"/>
        </w:rPr>
        <w:t>Bacha</w:t>
      </w:r>
      <w:proofErr w:type="spellEnd"/>
      <w:r w:rsidRPr="000A58DA">
        <w:rPr>
          <w:rFonts w:cs="Times New Roman"/>
          <w:szCs w:val="24"/>
        </w:rPr>
        <w:t xml:space="preserve"> 2002; </w:t>
      </w:r>
      <w:proofErr w:type="spellStart"/>
      <w:r w:rsidRPr="000A58DA">
        <w:rPr>
          <w:rFonts w:cs="Times New Roman"/>
          <w:szCs w:val="24"/>
        </w:rPr>
        <w:t>Schleifer</w:t>
      </w:r>
      <w:proofErr w:type="spellEnd"/>
      <w:r w:rsidRPr="000A58DA">
        <w:rPr>
          <w:rFonts w:cs="Times New Roman"/>
          <w:szCs w:val="24"/>
        </w:rPr>
        <w:t xml:space="preserve"> 1998). The core rationale for creating a public bank </w:t>
      </w:r>
      <w:r>
        <w:rPr>
          <w:rFonts w:cs="Times New Roman"/>
          <w:szCs w:val="24"/>
        </w:rPr>
        <w:t xml:space="preserve">(or having a national industrial policy more generally) </w:t>
      </w:r>
      <w:r w:rsidRPr="000A58DA">
        <w:rPr>
          <w:rFonts w:cs="Times New Roman"/>
          <w:szCs w:val="24"/>
        </w:rPr>
        <w:t>is to empower competent technocrats, operating above the political fray, to aggregate financial resources, typically subsidized by citizens, and make investments (usually long-term) resulting in public goods that otherwise wo</w:t>
      </w:r>
      <w:r>
        <w:rPr>
          <w:rFonts w:cs="Times New Roman"/>
          <w:szCs w:val="24"/>
        </w:rPr>
        <w:t>uld not be provided (“Expertise”</w:t>
      </w:r>
      <w:r w:rsidRPr="000A58DA">
        <w:rPr>
          <w:rFonts w:cs="Times New Roman"/>
          <w:szCs w:val="24"/>
        </w:rPr>
        <w:t xml:space="preserve">) (cf. Shapiro 2007). Like central banks, effective public banks should be independent of partisan and short-term political pressures. Nonetheless, decisions about the outcomes public bank activities ought to promote involve choices about values, and thus belong with the country’s </w:t>
      </w:r>
      <w:r>
        <w:rPr>
          <w:rFonts w:cs="Times New Roman"/>
          <w:szCs w:val="24"/>
        </w:rPr>
        <w:t xml:space="preserve">legitimately-elected </w:t>
      </w:r>
      <w:r w:rsidRPr="000A58DA">
        <w:rPr>
          <w:rFonts w:cs="Times New Roman"/>
          <w:szCs w:val="24"/>
        </w:rPr>
        <w:t>political authorities</w:t>
      </w:r>
      <w:r>
        <w:rPr>
          <w:rFonts w:cs="Times New Roman"/>
          <w:szCs w:val="24"/>
        </w:rPr>
        <w:t>, charged to execute the will of the citizenry (“Democracy”</w:t>
      </w:r>
      <w:r w:rsidRPr="000A58DA">
        <w:rPr>
          <w:rFonts w:cs="Times New Roman"/>
          <w:szCs w:val="24"/>
        </w:rPr>
        <w:t xml:space="preserve">). </w:t>
      </w:r>
      <w:r>
        <w:rPr>
          <w:rFonts w:cs="Times New Roman"/>
          <w:szCs w:val="24"/>
        </w:rPr>
        <w:t>P</w:t>
      </w:r>
      <w:r w:rsidRPr="000A58DA">
        <w:rPr>
          <w:rFonts w:cs="Times New Roman"/>
          <w:szCs w:val="24"/>
        </w:rPr>
        <w:t xml:space="preserve">ublic sector banks have the additional job of coexisting with, and promoting, a vibrant, innovative, profitable, </w:t>
      </w:r>
      <w:r>
        <w:rPr>
          <w:rFonts w:cs="Times New Roman"/>
          <w:szCs w:val="24"/>
        </w:rPr>
        <w:t xml:space="preserve">capitalist economy, including </w:t>
      </w:r>
      <w:r w:rsidRPr="000A58DA">
        <w:rPr>
          <w:rFonts w:cs="Times New Roman"/>
          <w:szCs w:val="24"/>
        </w:rPr>
        <w:t xml:space="preserve">competent private financial sector. </w:t>
      </w:r>
      <w:r>
        <w:rPr>
          <w:rFonts w:cs="Times New Roman"/>
          <w:szCs w:val="24"/>
        </w:rPr>
        <w:t>T</w:t>
      </w:r>
      <w:r w:rsidRPr="000A58DA">
        <w:rPr>
          <w:rFonts w:cs="Times New Roman"/>
          <w:szCs w:val="24"/>
        </w:rPr>
        <w:t xml:space="preserve">o fulfill their core expert task of promoting economic and industrial growth, </w:t>
      </w:r>
      <w:r>
        <w:rPr>
          <w:rFonts w:cs="Times New Roman"/>
          <w:szCs w:val="24"/>
        </w:rPr>
        <w:t xml:space="preserve">successful </w:t>
      </w:r>
      <w:r w:rsidRPr="000A58DA">
        <w:rPr>
          <w:rFonts w:cs="Times New Roman"/>
          <w:szCs w:val="24"/>
        </w:rPr>
        <w:t>state banks must support, rather than undercut or substitute for, private credi</w:t>
      </w:r>
      <w:r>
        <w:rPr>
          <w:rFonts w:cs="Times New Roman"/>
          <w:szCs w:val="24"/>
        </w:rPr>
        <w:t>t and capital markets (“Markets”</w:t>
      </w:r>
      <w:r w:rsidRPr="000A58DA">
        <w:rPr>
          <w:rFonts w:cs="Times New Roman"/>
          <w:szCs w:val="24"/>
        </w:rPr>
        <w:t xml:space="preserve">). A fair evaluation of the performance of any public bank must consider each leg of this </w:t>
      </w:r>
      <w:r>
        <w:rPr>
          <w:rFonts w:cs="Times New Roman"/>
          <w:szCs w:val="24"/>
        </w:rPr>
        <w:t xml:space="preserve">complicated </w:t>
      </w:r>
      <w:r w:rsidRPr="000A58DA">
        <w:rPr>
          <w:rFonts w:cs="Times New Roman"/>
          <w:szCs w:val="24"/>
        </w:rPr>
        <w:t>regulatory trilemma.</w:t>
      </w:r>
    </w:p>
    <w:p w:rsidR="00081943" w:rsidRPr="000A58DA" w:rsidRDefault="00081943" w:rsidP="00081943">
      <w:pPr>
        <w:spacing w:line="480" w:lineRule="auto"/>
        <w:rPr>
          <w:rFonts w:cs="Times New Roman"/>
          <w:b/>
          <w:szCs w:val="24"/>
        </w:rPr>
      </w:pPr>
      <w:r w:rsidRPr="000A58DA">
        <w:rPr>
          <w:rFonts w:cs="Times New Roman"/>
          <w:szCs w:val="24"/>
        </w:rPr>
        <w:lastRenderedPageBreak/>
        <w:tab/>
        <w:t xml:space="preserve">The public bank trilemma frames our analysis of the BNDES. The initial rationale for public banks, and thus the apex of the triangle, is Expertise. A public bank that cannot plausibly claim to be providing public goods in a competent fashion has no reason to exist. Nonetheless, Expertise alone is insufficient. </w:t>
      </w:r>
      <w:r>
        <w:rPr>
          <w:rFonts w:cs="Times New Roman"/>
          <w:szCs w:val="24"/>
        </w:rPr>
        <w:t>F</w:t>
      </w:r>
      <w:r w:rsidRPr="000A58DA">
        <w:rPr>
          <w:rFonts w:cs="Times New Roman"/>
          <w:szCs w:val="24"/>
        </w:rPr>
        <w:t xml:space="preserve">ollowing </w:t>
      </w:r>
      <w:r>
        <w:rPr>
          <w:rFonts w:cs="Times New Roman"/>
          <w:szCs w:val="24"/>
        </w:rPr>
        <w:t xml:space="preserve">a short history, </w:t>
      </w:r>
      <w:r w:rsidRPr="000A58DA">
        <w:rPr>
          <w:rFonts w:cs="Times New Roman"/>
          <w:szCs w:val="24"/>
        </w:rPr>
        <w:t xml:space="preserve">two sections analyze </w:t>
      </w:r>
      <w:r>
        <w:rPr>
          <w:rFonts w:cs="Times New Roman"/>
          <w:szCs w:val="24"/>
        </w:rPr>
        <w:t xml:space="preserve">contemporary </w:t>
      </w:r>
      <w:r w:rsidRPr="000A58DA">
        <w:rPr>
          <w:rFonts w:cs="Times New Roman"/>
          <w:szCs w:val="24"/>
        </w:rPr>
        <w:t>tension</w:t>
      </w:r>
      <w:r>
        <w:rPr>
          <w:rFonts w:cs="Times New Roman"/>
          <w:szCs w:val="24"/>
        </w:rPr>
        <w:t>s</w:t>
      </w:r>
      <w:r w:rsidRPr="000A58DA">
        <w:rPr>
          <w:rFonts w:cs="Times New Roman"/>
          <w:szCs w:val="24"/>
        </w:rPr>
        <w:t xml:space="preserve"> </w:t>
      </w:r>
      <w:r>
        <w:rPr>
          <w:rFonts w:cs="Times New Roman"/>
          <w:szCs w:val="24"/>
        </w:rPr>
        <w:t xml:space="preserve">in the BNDES </w:t>
      </w:r>
      <w:r w:rsidRPr="000A58DA">
        <w:rPr>
          <w:rFonts w:cs="Times New Roman"/>
          <w:szCs w:val="24"/>
        </w:rPr>
        <w:t>between Expertise and Democracy</w:t>
      </w:r>
      <w:r>
        <w:rPr>
          <w:rFonts w:cs="Times New Roman"/>
          <w:szCs w:val="24"/>
        </w:rPr>
        <w:t>, and then</w:t>
      </w:r>
      <w:r w:rsidRPr="000A58DA">
        <w:rPr>
          <w:rFonts w:cs="Times New Roman"/>
          <w:szCs w:val="24"/>
        </w:rPr>
        <w:t xml:space="preserve"> Expertise and Markets.</w:t>
      </w:r>
      <w:r w:rsidRPr="000A58DA">
        <w:rPr>
          <w:rFonts w:cs="Times New Roman"/>
          <w:b/>
          <w:szCs w:val="24"/>
        </w:rPr>
        <w:t xml:space="preserve"> </w:t>
      </w:r>
    </w:p>
    <w:p w:rsidR="00081943" w:rsidRPr="000A58DA" w:rsidRDefault="00081943" w:rsidP="00081943">
      <w:pPr>
        <w:spacing w:line="480" w:lineRule="auto"/>
        <w:rPr>
          <w:rFonts w:cs="Times New Roman"/>
          <w:b/>
          <w:szCs w:val="24"/>
        </w:rPr>
      </w:pPr>
      <w:r>
        <w:rPr>
          <w:rFonts w:cs="Times New Roman"/>
          <w:b/>
          <w:szCs w:val="24"/>
        </w:rPr>
        <w:t xml:space="preserve">III. </w:t>
      </w:r>
      <w:r w:rsidRPr="000A58DA">
        <w:rPr>
          <w:rFonts w:cs="Times New Roman"/>
          <w:b/>
          <w:szCs w:val="24"/>
        </w:rPr>
        <w:t>BNDES</w:t>
      </w:r>
      <w:r>
        <w:rPr>
          <w:rFonts w:cs="Times New Roman"/>
          <w:b/>
          <w:szCs w:val="24"/>
        </w:rPr>
        <w:t>’ shifting roles</w:t>
      </w:r>
      <w:r w:rsidRPr="000A58DA">
        <w:rPr>
          <w:rFonts w:cs="Times New Roman"/>
          <w:b/>
          <w:szCs w:val="24"/>
        </w:rPr>
        <w:t xml:space="preserve"> over time</w:t>
      </w:r>
    </w:p>
    <w:p w:rsidR="00081943" w:rsidRPr="000A58DA" w:rsidRDefault="00081943" w:rsidP="00081943">
      <w:pPr>
        <w:spacing w:line="480" w:lineRule="auto"/>
        <w:rPr>
          <w:rFonts w:cs="Times New Roman"/>
          <w:szCs w:val="24"/>
        </w:rPr>
      </w:pPr>
      <w:r>
        <w:rPr>
          <w:rFonts w:cs="Times New Roman"/>
          <w:szCs w:val="24"/>
        </w:rPr>
        <w:tab/>
        <w:t>Founded in 1952 to furnish project</w:t>
      </w:r>
      <w:r w:rsidRPr="000A58DA">
        <w:rPr>
          <w:rFonts w:cs="Times New Roman"/>
          <w:szCs w:val="24"/>
        </w:rPr>
        <w:t xml:space="preserve"> finance </w:t>
      </w:r>
      <w:r>
        <w:rPr>
          <w:rFonts w:cs="Times New Roman"/>
          <w:szCs w:val="24"/>
        </w:rPr>
        <w:t xml:space="preserve">for big </w:t>
      </w:r>
      <w:r w:rsidRPr="000A58DA">
        <w:rPr>
          <w:rFonts w:cs="Times New Roman"/>
          <w:szCs w:val="24"/>
        </w:rPr>
        <w:t>infrastructure</w:t>
      </w:r>
      <w:r>
        <w:rPr>
          <w:rFonts w:cs="Times New Roman"/>
          <w:szCs w:val="24"/>
        </w:rPr>
        <w:t xml:space="preserve"> projects</w:t>
      </w:r>
      <w:r w:rsidRPr="000A58DA">
        <w:rPr>
          <w:rFonts w:cs="Times New Roman"/>
          <w:szCs w:val="24"/>
        </w:rPr>
        <w:t xml:space="preserve">, later in the decade </w:t>
      </w:r>
      <w:r>
        <w:rPr>
          <w:rFonts w:cs="Times New Roman"/>
          <w:szCs w:val="24"/>
        </w:rPr>
        <w:t xml:space="preserve">the BNDES </w:t>
      </w:r>
      <w:r w:rsidRPr="000A58DA">
        <w:rPr>
          <w:rFonts w:cs="Times New Roman"/>
          <w:szCs w:val="24"/>
        </w:rPr>
        <w:t xml:space="preserve">also </w:t>
      </w:r>
      <w:r>
        <w:rPr>
          <w:rFonts w:cs="Times New Roman"/>
          <w:szCs w:val="24"/>
        </w:rPr>
        <w:t xml:space="preserve">began </w:t>
      </w:r>
      <w:r w:rsidRPr="000A58DA">
        <w:rPr>
          <w:rFonts w:cs="Times New Roman"/>
          <w:szCs w:val="24"/>
        </w:rPr>
        <w:t>financing capital goods production through its wholly-owned subsidiary, FINAME.</w:t>
      </w:r>
      <w:r w:rsidRPr="000A58DA">
        <w:rPr>
          <w:rStyle w:val="EndnoteReference"/>
          <w:rFonts w:cs="Times New Roman"/>
          <w:szCs w:val="24"/>
        </w:rPr>
        <w:endnoteReference w:id="5"/>
      </w:r>
      <w:r w:rsidRPr="000A58DA">
        <w:rPr>
          <w:rFonts w:cs="Times New Roman"/>
          <w:szCs w:val="24"/>
        </w:rPr>
        <w:t xml:space="preserve"> Following the 1964 military coup, which the new government justified by reference to economic disarray under its civilian predecessors, </w:t>
      </w:r>
      <w:r>
        <w:rPr>
          <w:rFonts w:cs="Times New Roman"/>
          <w:szCs w:val="24"/>
        </w:rPr>
        <w:t xml:space="preserve">a barrage of </w:t>
      </w:r>
      <w:r w:rsidRPr="000A58DA">
        <w:rPr>
          <w:rFonts w:cs="Times New Roman"/>
          <w:szCs w:val="24"/>
        </w:rPr>
        <w:t xml:space="preserve">liberalizing and institution-building reforms attempted to construct the regulatory framework for macroeconomic stability and </w:t>
      </w:r>
      <w:r>
        <w:rPr>
          <w:rFonts w:cs="Times New Roman"/>
          <w:szCs w:val="24"/>
        </w:rPr>
        <w:t xml:space="preserve">capitalist </w:t>
      </w:r>
      <w:r w:rsidRPr="000A58DA">
        <w:rPr>
          <w:rFonts w:cs="Times New Roman"/>
          <w:szCs w:val="24"/>
        </w:rPr>
        <w:t>economic growth (</w:t>
      </w:r>
      <w:proofErr w:type="spellStart"/>
      <w:r w:rsidRPr="000A58DA">
        <w:rPr>
          <w:rFonts w:cs="Times New Roman"/>
          <w:szCs w:val="24"/>
        </w:rPr>
        <w:t>Fishlow</w:t>
      </w:r>
      <w:proofErr w:type="spellEnd"/>
      <w:r w:rsidRPr="000A58DA">
        <w:rPr>
          <w:rFonts w:cs="Times New Roman"/>
          <w:szCs w:val="24"/>
        </w:rPr>
        <w:t xml:space="preserve"> 1973; Skidmore 1973).  However, inflation was not controlled, and long-term, voluntary private financing did not appear. Instead, in the late 1960s large business-owners, especially from São Paulo, successfully pressed the government to reorient BNDES activity </w:t>
      </w:r>
      <w:r>
        <w:rPr>
          <w:rFonts w:cs="Times New Roman"/>
          <w:szCs w:val="24"/>
        </w:rPr>
        <w:t xml:space="preserve">away from infrastructure and </w:t>
      </w:r>
      <w:r w:rsidRPr="000A58DA">
        <w:rPr>
          <w:rFonts w:cs="Times New Roman"/>
          <w:szCs w:val="24"/>
        </w:rPr>
        <w:t>toward long-term lending for industrial and commercial firms across all sectors.</w:t>
      </w:r>
      <w:r>
        <w:rPr>
          <w:rFonts w:cs="Times New Roman"/>
          <w:szCs w:val="24"/>
        </w:rPr>
        <w:t xml:space="preserve"> Ever since</w:t>
      </w:r>
      <w:r w:rsidRPr="000A58DA">
        <w:rPr>
          <w:rFonts w:cs="Times New Roman"/>
          <w:szCs w:val="24"/>
        </w:rPr>
        <w:t xml:space="preserve">, long-term credit for business borrowers sourced from within Brazil has been a virtual monopoly </w:t>
      </w:r>
      <w:r>
        <w:rPr>
          <w:rFonts w:cs="Times New Roman"/>
          <w:szCs w:val="24"/>
        </w:rPr>
        <w:t>of the BNDES</w:t>
      </w:r>
      <w:r w:rsidRPr="000A58DA">
        <w:rPr>
          <w:rFonts w:cs="Times New Roman"/>
          <w:szCs w:val="24"/>
        </w:rPr>
        <w:t xml:space="preserve">. </w:t>
      </w:r>
    </w:p>
    <w:p w:rsidR="00081943" w:rsidRDefault="00081943" w:rsidP="00081943">
      <w:pPr>
        <w:spacing w:line="480" w:lineRule="auto"/>
        <w:rPr>
          <w:rFonts w:cs="Times New Roman"/>
          <w:szCs w:val="24"/>
        </w:rPr>
      </w:pPr>
      <w:r w:rsidRPr="000A58DA">
        <w:rPr>
          <w:rFonts w:cs="Times New Roman"/>
          <w:szCs w:val="24"/>
        </w:rPr>
        <w:tab/>
      </w:r>
      <w:r>
        <w:rPr>
          <w:rFonts w:cs="Times New Roman"/>
          <w:szCs w:val="24"/>
        </w:rPr>
        <w:t>T</w:t>
      </w:r>
      <w:r w:rsidRPr="000A58DA">
        <w:rPr>
          <w:rFonts w:cs="Times New Roman"/>
          <w:szCs w:val="24"/>
        </w:rPr>
        <w:t xml:space="preserve">he BNDES </w:t>
      </w:r>
      <w:r>
        <w:rPr>
          <w:rFonts w:cs="Times New Roman"/>
          <w:szCs w:val="24"/>
        </w:rPr>
        <w:t xml:space="preserve">maintains </w:t>
      </w:r>
      <w:r w:rsidRPr="000A58DA">
        <w:rPr>
          <w:rFonts w:cs="Times New Roman"/>
          <w:szCs w:val="24"/>
        </w:rPr>
        <w:t xml:space="preserve">an enviable reputation for competence--and flexibility. In the 1970s, the bank sought to ease fiscal pressures on Brazil’s central government, </w:t>
      </w:r>
      <w:r>
        <w:rPr>
          <w:rFonts w:cs="Times New Roman"/>
          <w:szCs w:val="24"/>
        </w:rPr>
        <w:t xml:space="preserve">hitherto its primary </w:t>
      </w:r>
      <w:r w:rsidRPr="000A58DA">
        <w:rPr>
          <w:rFonts w:cs="Times New Roman"/>
          <w:szCs w:val="24"/>
        </w:rPr>
        <w:t xml:space="preserve">source of funds, by borrowing cheaply in international markets and on-lending these resources within Brazil. </w:t>
      </w:r>
      <w:r>
        <w:rPr>
          <w:rFonts w:cs="Times New Roman"/>
          <w:szCs w:val="24"/>
        </w:rPr>
        <w:t>Accumulated foreign loans in the 1970s lead to the debt crisis in the early 1980s, when rates shot up and foreign banks suddenly refused to renew working capital loans and trade credits. Throughout that decade,</w:t>
      </w:r>
      <w:r w:rsidRPr="000A58DA">
        <w:rPr>
          <w:rFonts w:cs="Times New Roman"/>
          <w:szCs w:val="24"/>
        </w:rPr>
        <w:t xml:space="preserve"> the BNDES helped the country cope with </w:t>
      </w:r>
      <w:r w:rsidRPr="000A58DA">
        <w:rPr>
          <w:rFonts w:cs="Times New Roman"/>
          <w:szCs w:val="24"/>
        </w:rPr>
        <w:lastRenderedPageBreak/>
        <w:t xml:space="preserve">stagnation </w:t>
      </w:r>
      <w:r>
        <w:rPr>
          <w:rFonts w:cs="Times New Roman"/>
          <w:szCs w:val="24"/>
        </w:rPr>
        <w:t xml:space="preserve">and firms starved for credit </w:t>
      </w:r>
      <w:r w:rsidRPr="000A58DA">
        <w:rPr>
          <w:rFonts w:cs="Times New Roman"/>
          <w:szCs w:val="24"/>
        </w:rPr>
        <w:t>by inaugurating a</w:t>
      </w:r>
      <w:r>
        <w:rPr>
          <w:rFonts w:cs="Times New Roman"/>
          <w:szCs w:val="24"/>
        </w:rPr>
        <w:t>nother</w:t>
      </w:r>
      <w:r w:rsidRPr="000A58DA">
        <w:rPr>
          <w:rFonts w:cs="Times New Roman"/>
          <w:szCs w:val="24"/>
        </w:rPr>
        <w:t xml:space="preserve"> wholly-owned subsidiary, BNDES </w:t>
      </w:r>
      <w:proofErr w:type="spellStart"/>
      <w:r w:rsidRPr="000A58DA">
        <w:rPr>
          <w:rFonts w:cs="Times New Roman"/>
          <w:szCs w:val="24"/>
        </w:rPr>
        <w:t>Participações</w:t>
      </w:r>
      <w:proofErr w:type="spellEnd"/>
      <w:r>
        <w:rPr>
          <w:rFonts w:cs="Times New Roman"/>
          <w:szCs w:val="24"/>
        </w:rPr>
        <w:t xml:space="preserve"> (</w:t>
      </w:r>
      <w:proofErr w:type="spellStart"/>
      <w:r>
        <w:rPr>
          <w:rFonts w:cs="Times New Roman"/>
          <w:szCs w:val="24"/>
        </w:rPr>
        <w:t>BNDESPar</w:t>
      </w:r>
      <w:proofErr w:type="spellEnd"/>
      <w:r>
        <w:rPr>
          <w:rFonts w:cs="Times New Roman"/>
          <w:szCs w:val="24"/>
        </w:rPr>
        <w:t>)</w:t>
      </w:r>
      <w:r w:rsidRPr="000A58DA">
        <w:rPr>
          <w:rFonts w:cs="Times New Roman"/>
          <w:szCs w:val="24"/>
        </w:rPr>
        <w:t>, which would support companies by investing in their shares</w:t>
      </w:r>
      <w:r>
        <w:rPr>
          <w:rFonts w:cs="Times New Roman"/>
          <w:szCs w:val="24"/>
        </w:rPr>
        <w:t xml:space="preserve">, rescuing </w:t>
      </w:r>
      <w:r w:rsidRPr="000A58DA">
        <w:rPr>
          <w:rFonts w:cs="Times New Roman"/>
          <w:szCs w:val="24"/>
        </w:rPr>
        <w:t>i</w:t>
      </w:r>
      <w:r>
        <w:rPr>
          <w:rFonts w:cs="Times New Roman"/>
          <w:szCs w:val="24"/>
        </w:rPr>
        <w:t>lliquid firms from bankruptcy through</w:t>
      </w:r>
      <w:r w:rsidRPr="000A58DA">
        <w:rPr>
          <w:rFonts w:cs="Times New Roman"/>
          <w:szCs w:val="24"/>
        </w:rPr>
        <w:t xml:space="preserve"> debt-to-equity conversions. </w:t>
      </w:r>
      <w:r>
        <w:rPr>
          <w:rFonts w:cs="Times New Roman"/>
          <w:szCs w:val="24"/>
        </w:rPr>
        <w:t xml:space="preserve">When markets recovered, </w:t>
      </w:r>
      <w:proofErr w:type="spellStart"/>
      <w:r>
        <w:rPr>
          <w:rFonts w:cs="Times New Roman"/>
          <w:szCs w:val="24"/>
        </w:rPr>
        <w:t>BNDESPar</w:t>
      </w:r>
      <w:proofErr w:type="spellEnd"/>
      <w:r>
        <w:rPr>
          <w:rFonts w:cs="Times New Roman"/>
          <w:szCs w:val="24"/>
        </w:rPr>
        <w:t xml:space="preserve"> managers traded these </w:t>
      </w:r>
      <w:r w:rsidRPr="000A58DA">
        <w:rPr>
          <w:rFonts w:cs="Times New Roman"/>
          <w:szCs w:val="24"/>
        </w:rPr>
        <w:t>shares, in most years</w:t>
      </w:r>
      <w:r>
        <w:rPr>
          <w:rFonts w:cs="Times New Roman"/>
          <w:szCs w:val="24"/>
        </w:rPr>
        <w:t xml:space="preserve"> turning a profit.</w:t>
      </w:r>
      <w:r w:rsidRPr="000A58DA">
        <w:rPr>
          <w:rFonts w:cs="Times New Roman"/>
          <w:szCs w:val="24"/>
        </w:rPr>
        <w:t xml:space="preserve"> </w:t>
      </w:r>
    </w:p>
    <w:p w:rsidR="00081943" w:rsidRPr="00A42E2A" w:rsidRDefault="00081943" w:rsidP="00081943">
      <w:pPr>
        <w:spacing w:line="480" w:lineRule="auto"/>
        <w:rPr>
          <w:rFonts w:cs="Times New Roman"/>
          <w:szCs w:val="24"/>
        </w:rPr>
      </w:pPr>
      <w:r>
        <w:rPr>
          <w:rFonts w:cs="Times New Roman"/>
          <w:szCs w:val="24"/>
        </w:rPr>
        <w:tab/>
      </w:r>
      <w:r w:rsidRPr="000A58DA">
        <w:rPr>
          <w:rFonts w:cs="Times New Roman"/>
          <w:szCs w:val="24"/>
        </w:rPr>
        <w:t xml:space="preserve">In the post-debt-crisis 1990s, Brazil, like most of Latin America, entered a phase of pro-market economic reforms. </w:t>
      </w:r>
      <w:r>
        <w:rPr>
          <w:rFonts w:cs="Times New Roman"/>
          <w:szCs w:val="24"/>
        </w:rPr>
        <w:t>C</w:t>
      </w:r>
      <w:r w:rsidRPr="000A58DA">
        <w:rPr>
          <w:rFonts w:cs="Times New Roman"/>
          <w:szCs w:val="24"/>
        </w:rPr>
        <w:t xml:space="preserve">alled upon to run Brazil’s large-scale privatization process, </w:t>
      </w:r>
      <w:r>
        <w:rPr>
          <w:rFonts w:cs="Times New Roman"/>
          <w:szCs w:val="24"/>
        </w:rPr>
        <w:t>the BNDES ultimately oversaw</w:t>
      </w:r>
      <w:r w:rsidRPr="000A58DA">
        <w:rPr>
          <w:rFonts w:cs="Times New Roman"/>
          <w:szCs w:val="24"/>
        </w:rPr>
        <w:t xml:space="preserve"> sales of US$105 billion (BNDES 2002b:2). As part of the process, economic policymakers </w:t>
      </w:r>
      <w:r>
        <w:rPr>
          <w:rFonts w:cs="Times New Roman"/>
          <w:szCs w:val="24"/>
        </w:rPr>
        <w:t xml:space="preserve">usefully </w:t>
      </w:r>
      <w:r w:rsidRPr="000A58DA">
        <w:rPr>
          <w:rFonts w:cs="Times New Roman"/>
          <w:szCs w:val="24"/>
        </w:rPr>
        <w:t xml:space="preserve">cleared out US$18 billion in public debt securities of questionable value </w:t>
      </w:r>
      <w:r>
        <w:rPr>
          <w:rFonts w:cs="Times New Roman"/>
          <w:szCs w:val="24"/>
        </w:rPr>
        <w:t>(</w:t>
      </w:r>
      <w:proofErr w:type="spellStart"/>
      <w:r>
        <w:rPr>
          <w:rFonts w:cs="Times New Roman"/>
          <w:i/>
          <w:szCs w:val="24"/>
        </w:rPr>
        <w:t>moedas</w:t>
      </w:r>
      <w:proofErr w:type="spellEnd"/>
      <w:r>
        <w:rPr>
          <w:rFonts w:cs="Times New Roman"/>
          <w:i/>
          <w:szCs w:val="24"/>
        </w:rPr>
        <w:t xml:space="preserve"> </w:t>
      </w:r>
      <w:proofErr w:type="spellStart"/>
      <w:r>
        <w:rPr>
          <w:rFonts w:cs="Times New Roman"/>
          <w:i/>
          <w:szCs w:val="24"/>
        </w:rPr>
        <w:t>podres</w:t>
      </w:r>
      <w:proofErr w:type="spellEnd"/>
      <w:r>
        <w:rPr>
          <w:rFonts w:cs="Times New Roman"/>
          <w:i/>
          <w:szCs w:val="24"/>
        </w:rPr>
        <w:t xml:space="preserve">, </w:t>
      </w:r>
      <w:r>
        <w:rPr>
          <w:rFonts w:cs="Times New Roman"/>
          <w:szCs w:val="24"/>
        </w:rPr>
        <w:t xml:space="preserve">or </w:t>
      </w:r>
      <w:r w:rsidRPr="000A58DA">
        <w:rPr>
          <w:rFonts w:cs="Times New Roman"/>
          <w:szCs w:val="24"/>
        </w:rPr>
        <w:t>rotten monies)</w:t>
      </w:r>
      <w:r>
        <w:rPr>
          <w:rFonts w:cs="Times New Roman"/>
          <w:szCs w:val="24"/>
        </w:rPr>
        <w:t xml:space="preserve"> </w:t>
      </w:r>
      <w:r w:rsidRPr="000A58DA">
        <w:rPr>
          <w:rFonts w:cs="Times New Roman"/>
          <w:szCs w:val="24"/>
        </w:rPr>
        <w:t>that had been issued by various state firms and entities over the p</w:t>
      </w:r>
      <w:r>
        <w:rPr>
          <w:rFonts w:cs="Times New Roman"/>
          <w:szCs w:val="24"/>
        </w:rPr>
        <w:t xml:space="preserve">revious twenty years: these securities could be spent </w:t>
      </w:r>
      <w:r w:rsidRPr="000A58DA">
        <w:rPr>
          <w:rFonts w:cs="Times New Roman"/>
          <w:szCs w:val="24"/>
        </w:rPr>
        <w:t xml:space="preserve">in the privatization auctions. </w:t>
      </w:r>
      <w:r>
        <w:rPr>
          <w:rFonts w:cs="Times New Roman"/>
          <w:szCs w:val="24"/>
        </w:rPr>
        <w:t xml:space="preserve">From the late 1990s through the present, the BNDES has promoted </w:t>
      </w:r>
      <w:r w:rsidRPr="000A58DA">
        <w:rPr>
          <w:rFonts w:cs="Times New Roman"/>
          <w:szCs w:val="24"/>
        </w:rPr>
        <w:t xml:space="preserve">exports and Brazil’s </w:t>
      </w:r>
      <w:r>
        <w:rPr>
          <w:rFonts w:cs="Times New Roman"/>
          <w:szCs w:val="24"/>
        </w:rPr>
        <w:t xml:space="preserve">global economic </w:t>
      </w:r>
      <w:r w:rsidRPr="000A58DA">
        <w:rPr>
          <w:rFonts w:cs="Times New Roman"/>
          <w:szCs w:val="24"/>
        </w:rPr>
        <w:t>insertion</w:t>
      </w:r>
      <w:r>
        <w:rPr>
          <w:rFonts w:cs="Times New Roman"/>
          <w:szCs w:val="24"/>
        </w:rPr>
        <w:t>, while also inaugurating new programs for small businesses</w:t>
      </w:r>
      <w:r w:rsidRPr="000A58DA">
        <w:rPr>
          <w:rFonts w:cs="Times New Roman"/>
          <w:szCs w:val="24"/>
        </w:rPr>
        <w:t>.</w:t>
      </w:r>
      <w:r>
        <w:rPr>
          <w:rFonts w:cs="Times New Roman"/>
          <w:szCs w:val="24"/>
        </w:rPr>
        <w:t xml:space="preserve"> T</w:t>
      </w:r>
      <w:r w:rsidRPr="000A58DA">
        <w:rPr>
          <w:rFonts w:cs="Times New Roman"/>
          <w:szCs w:val="24"/>
        </w:rPr>
        <w:t xml:space="preserve">he </w:t>
      </w:r>
      <w:r>
        <w:rPr>
          <w:rFonts w:cs="Times New Roman"/>
          <w:szCs w:val="24"/>
        </w:rPr>
        <w:t xml:space="preserve">Bank </w:t>
      </w:r>
      <w:r w:rsidRPr="000A58DA">
        <w:rPr>
          <w:rFonts w:cs="Times New Roman"/>
          <w:szCs w:val="24"/>
        </w:rPr>
        <w:t xml:space="preserve">has seldom been free of controversy: earlier arguments over its proper role </w:t>
      </w:r>
      <w:r>
        <w:rPr>
          <w:rFonts w:cs="Times New Roman"/>
          <w:szCs w:val="24"/>
        </w:rPr>
        <w:t xml:space="preserve">were </w:t>
      </w:r>
      <w:r w:rsidRPr="000A58DA">
        <w:rPr>
          <w:rFonts w:cs="Times New Roman"/>
          <w:szCs w:val="24"/>
        </w:rPr>
        <w:t>as fierce as those</w:t>
      </w:r>
      <w:r>
        <w:rPr>
          <w:rFonts w:cs="Times New Roman"/>
          <w:szCs w:val="24"/>
        </w:rPr>
        <w:t xml:space="preserve"> that now rage. Throughout, </w:t>
      </w:r>
      <w:r w:rsidRPr="000A58DA">
        <w:rPr>
          <w:rFonts w:cs="Times New Roman"/>
          <w:szCs w:val="24"/>
        </w:rPr>
        <w:t>the BNDES has retained its reputation, both wit</w:t>
      </w:r>
      <w:r>
        <w:rPr>
          <w:rFonts w:cs="Times New Roman"/>
          <w:szCs w:val="24"/>
        </w:rPr>
        <w:t xml:space="preserve">hin Brazil and internationally, </w:t>
      </w:r>
      <w:r w:rsidRPr="000A58DA">
        <w:rPr>
          <w:rFonts w:cs="Times New Roman"/>
          <w:szCs w:val="24"/>
        </w:rPr>
        <w:t xml:space="preserve">for skill and integrity. </w:t>
      </w:r>
      <w:r>
        <w:rPr>
          <w:rFonts w:cs="Times New Roman"/>
          <w:szCs w:val="24"/>
        </w:rPr>
        <w:t xml:space="preserve">Recently, Brazil has made two significant transitions, to institutionalized democracy in the mid-1980s and a stable </w:t>
      </w:r>
      <w:proofErr w:type="spellStart"/>
      <w:r>
        <w:rPr>
          <w:rFonts w:cs="Times New Roman"/>
          <w:szCs w:val="24"/>
        </w:rPr>
        <w:t>macroeconomy</w:t>
      </w:r>
      <w:proofErr w:type="spellEnd"/>
      <w:r>
        <w:rPr>
          <w:rFonts w:cs="Times New Roman"/>
          <w:szCs w:val="24"/>
        </w:rPr>
        <w:t xml:space="preserve"> a decade later. Together they render Brazil’s public bank management trilemma more acute.</w:t>
      </w:r>
    </w:p>
    <w:p w:rsidR="00081943" w:rsidRPr="000A58DA" w:rsidRDefault="00081943" w:rsidP="00081943">
      <w:pPr>
        <w:spacing w:line="480" w:lineRule="auto"/>
        <w:rPr>
          <w:rFonts w:cs="Times New Roman"/>
          <w:szCs w:val="24"/>
        </w:rPr>
      </w:pPr>
      <w:r w:rsidRPr="000A58DA">
        <w:rPr>
          <w:rFonts w:cs="Times New Roman"/>
          <w:b/>
          <w:szCs w:val="24"/>
        </w:rPr>
        <w:t>IV. Expertise and the claims o</w:t>
      </w:r>
      <w:r>
        <w:rPr>
          <w:rFonts w:cs="Times New Roman"/>
          <w:b/>
          <w:szCs w:val="24"/>
        </w:rPr>
        <w:t>f Democracy: The BNDES and the internationalization</w:t>
      </w:r>
      <w:r w:rsidRPr="000A58DA">
        <w:rPr>
          <w:rFonts w:cs="Times New Roman"/>
          <w:b/>
          <w:szCs w:val="24"/>
        </w:rPr>
        <w:t xml:space="preserve"> of Brazilian business</w:t>
      </w:r>
    </w:p>
    <w:p w:rsidR="00081943" w:rsidRDefault="00081943" w:rsidP="00081943">
      <w:pPr>
        <w:spacing w:line="480" w:lineRule="auto"/>
        <w:rPr>
          <w:rFonts w:cs="Times New Roman"/>
          <w:szCs w:val="24"/>
        </w:rPr>
      </w:pPr>
      <w:r>
        <w:rPr>
          <w:rFonts w:cs="Times New Roman"/>
          <w:szCs w:val="24"/>
        </w:rPr>
        <w:tab/>
        <w:t xml:space="preserve">The conflict between autonomous, technocratic policymaking (Expertise) and political oversight by the elected authorities, responding to public preferences (Democracy), is illustrated by the way the BNDES has promoted greater engagement with the world economy. </w:t>
      </w:r>
    </w:p>
    <w:p w:rsidR="00081943" w:rsidRPr="000A58DA" w:rsidRDefault="00081943" w:rsidP="00081943">
      <w:pPr>
        <w:spacing w:line="480" w:lineRule="auto"/>
        <w:rPr>
          <w:rFonts w:cs="Times New Roman"/>
          <w:szCs w:val="24"/>
        </w:rPr>
      </w:pPr>
      <w:r>
        <w:rPr>
          <w:rFonts w:cs="Times New Roman"/>
          <w:szCs w:val="24"/>
        </w:rPr>
        <w:lastRenderedPageBreak/>
        <w:tab/>
        <w:t>T</w:t>
      </w:r>
      <w:r w:rsidRPr="000A58DA">
        <w:rPr>
          <w:rFonts w:cs="Times New Roman"/>
          <w:szCs w:val="24"/>
        </w:rPr>
        <w:t xml:space="preserve">here are a variety of ways to implement an outward economic orientation, ranging from the least to most state-interventionist. One may </w:t>
      </w:r>
      <w:r>
        <w:rPr>
          <w:rFonts w:cs="Times New Roman"/>
          <w:szCs w:val="24"/>
        </w:rPr>
        <w:t xml:space="preserve">unilaterally </w:t>
      </w:r>
      <w:r w:rsidRPr="000A58DA">
        <w:rPr>
          <w:rFonts w:cs="Times New Roman"/>
          <w:szCs w:val="24"/>
        </w:rPr>
        <w:t>remove tariff and non-tariff trade barriers, on the theory that all trade (even when it involves a surge of imports</w:t>
      </w:r>
      <w:r>
        <w:rPr>
          <w:rFonts w:cs="Times New Roman"/>
          <w:szCs w:val="24"/>
        </w:rPr>
        <w:t>)</w:t>
      </w:r>
      <w:r w:rsidRPr="000A58DA">
        <w:rPr>
          <w:rFonts w:cs="Times New Roman"/>
          <w:szCs w:val="24"/>
        </w:rPr>
        <w:t xml:space="preserve"> is good trade, because post-liberalization the country’s consumers and firms enjoy better or cheaper goods. A somewhat more activist state will seek reciprocal removal of trade barriers. More statist still is the belief that “good” trade means the export of manufactures, not commodities, and that it is the government’s job to promote this “higher</w:t>
      </w:r>
      <w:r>
        <w:rPr>
          <w:rFonts w:cs="Times New Roman"/>
          <w:szCs w:val="24"/>
        </w:rPr>
        <w:t xml:space="preserve"> value-added” trade. B</w:t>
      </w:r>
      <w:r w:rsidRPr="000A58DA">
        <w:rPr>
          <w:rFonts w:cs="Times New Roman"/>
          <w:szCs w:val="24"/>
        </w:rPr>
        <w:t>oth the rig</w:t>
      </w:r>
      <w:r>
        <w:rPr>
          <w:rFonts w:cs="Times New Roman"/>
          <w:szCs w:val="24"/>
        </w:rPr>
        <w:t>ht-leaning (</w:t>
      </w:r>
      <w:proofErr w:type="spellStart"/>
      <w:r>
        <w:rPr>
          <w:rFonts w:cs="Times New Roman"/>
          <w:szCs w:val="24"/>
        </w:rPr>
        <w:t>Collor</w:t>
      </w:r>
      <w:proofErr w:type="spellEnd"/>
      <w:r>
        <w:rPr>
          <w:rFonts w:cs="Times New Roman"/>
          <w:szCs w:val="24"/>
        </w:rPr>
        <w:t xml:space="preserve"> through Cardoso) and left-leaning (Lula and </w:t>
      </w:r>
      <w:proofErr w:type="spellStart"/>
      <w:r>
        <w:rPr>
          <w:rFonts w:cs="Times New Roman"/>
          <w:szCs w:val="24"/>
        </w:rPr>
        <w:t>Dilma</w:t>
      </w:r>
      <w:proofErr w:type="spellEnd"/>
      <w:r>
        <w:rPr>
          <w:rFonts w:cs="Times New Roman"/>
          <w:szCs w:val="24"/>
        </w:rPr>
        <w:t xml:space="preserve">) strands of Brazil’s new </w:t>
      </w:r>
      <w:proofErr w:type="spellStart"/>
      <w:r>
        <w:rPr>
          <w:rFonts w:cs="Times New Roman"/>
          <w:szCs w:val="24"/>
        </w:rPr>
        <w:t>d</w:t>
      </w:r>
      <w:r w:rsidRPr="000A58DA">
        <w:rPr>
          <w:rFonts w:cs="Times New Roman"/>
          <w:szCs w:val="24"/>
        </w:rPr>
        <w:t>evelopmentalists</w:t>
      </w:r>
      <w:proofErr w:type="spellEnd"/>
      <w:r w:rsidRPr="000A58DA">
        <w:rPr>
          <w:rFonts w:cs="Times New Roman"/>
          <w:szCs w:val="24"/>
        </w:rPr>
        <w:t xml:space="preserve"> </w:t>
      </w:r>
      <w:r>
        <w:rPr>
          <w:rFonts w:cs="Times New Roman"/>
          <w:szCs w:val="24"/>
        </w:rPr>
        <w:t xml:space="preserve">have been </w:t>
      </w:r>
      <w:r w:rsidRPr="000A58DA">
        <w:rPr>
          <w:rFonts w:cs="Times New Roman"/>
          <w:szCs w:val="24"/>
        </w:rPr>
        <w:t>are in agreement: it is better to export airplanes than coffee or soya. Even a recent World Bank report worriedly notes that Brazil’s high technology exports grew 35 percent (by value) in the decade following 2000—as compared to over 800 percent for China and almost 400 percent for India (</w:t>
      </w:r>
      <w:proofErr w:type="spellStart"/>
      <w:r w:rsidRPr="000A58DA">
        <w:rPr>
          <w:rFonts w:cs="Times New Roman"/>
          <w:szCs w:val="24"/>
        </w:rPr>
        <w:t>Canuto</w:t>
      </w:r>
      <w:proofErr w:type="spellEnd"/>
      <w:r w:rsidRPr="000A58DA">
        <w:rPr>
          <w:rFonts w:cs="Times New Roman"/>
          <w:szCs w:val="24"/>
        </w:rPr>
        <w:t xml:space="preserve">, </w:t>
      </w:r>
      <w:proofErr w:type="spellStart"/>
      <w:r w:rsidRPr="000A58DA">
        <w:rPr>
          <w:rFonts w:cs="Times New Roman"/>
          <w:szCs w:val="24"/>
        </w:rPr>
        <w:t>Cavallari</w:t>
      </w:r>
      <w:proofErr w:type="spellEnd"/>
      <w:r w:rsidRPr="000A58DA">
        <w:rPr>
          <w:rFonts w:cs="Times New Roman"/>
          <w:szCs w:val="24"/>
        </w:rPr>
        <w:t xml:space="preserve">, </w:t>
      </w:r>
      <w:r>
        <w:rPr>
          <w:rFonts w:cs="Times New Roman"/>
          <w:szCs w:val="24"/>
        </w:rPr>
        <w:t>and Reis 2013). Meanwhile</w:t>
      </w:r>
      <w:r w:rsidRPr="000A58DA">
        <w:rPr>
          <w:rFonts w:cs="Times New Roman"/>
          <w:szCs w:val="24"/>
        </w:rPr>
        <w:t xml:space="preserve">, the share of Brazil’s total trade that could be classed as high-tech fell from 10 to 5 percent during the decade, while simple commodities increased their share from 46 to 63 percent. </w:t>
      </w:r>
    </w:p>
    <w:p w:rsidR="00081943" w:rsidRDefault="00081943" w:rsidP="00081943">
      <w:pPr>
        <w:spacing w:line="480" w:lineRule="auto"/>
        <w:rPr>
          <w:rFonts w:cs="Times New Roman"/>
          <w:szCs w:val="24"/>
        </w:rPr>
      </w:pPr>
      <w:r>
        <w:rPr>
          <w:rFonts w:cs="Times New Roman"/>
          <w:szCs w:val="24"/>
        </w:rPr>
        <w:tab/>
        <w:t xml:space="preserve">The BNDES has sought to promote exports, particularly manufactured ones. </w:t>
      </w:r>
      <w:r w:rsidRPr="000A58DA">
        <w:rPr>
          <w:rFonts w:cs="Times New Roman"/>
          <w:szCs w:val="24"/>
        </w:rPr>
        <w:t xml:space="preserve">Since foreign customers will not pay the extraordinarily high nominal and real interest rates that have reigned for decades in the free segments of Brazilian markets (on which see below), funds to provide credit to foreign purchasers of Brazilian exports either must be borrowed abroad or the Brazilian government </w:t>
      </w:r>
      <w:r>
        <w:rPr>
          <w:rFonts w:cs="Times New Roman"/>
          <w:szCs w:val="24"/>
        </w:rPr>
        <w:t xml:space="preserve">(and ultimately taxpayers) </w:t>
      </w:r>
      <w:r w:rsidRPr="000A58DA">
        <w:rPr>
          <w:rFonts w:cs="Times New Roman"/>
          <w:szCs w:val="24"/>
        </w:rPr>
        <w:t xml:space="preserve">must subsidize the additional interest cost. </w:t>
      </w:r>
      <w:r>
        <w:rPr>
          <w:rFonts w:cs="Times New Roman"/>
          <w:szCs w:val="24"/>
        </w:rPr>
        <w:t xml:space="preserve">Brazil’s private banks provide short-term trade credit, funding themselves from abroad </w:t>
      </w:r>
      <w:r w:rsidRPr="000A58DA">
        <w:rPr>
          <w:rFonts w:cs="Times New Roman"/>
          <w:szCs w:val="24"/>
        </w:rPr>
        <w:t xml:space="preserve">(Rossi and </w:t>
      </w:r>
      <w:proofErr w:type="spellStart"/>
      <w:r w:rsidRPr="000A58DA">
        <w:rPr>
          <w:rFonts w:cs="Times New Roman"/>
          <w:szCs w:val="24"/>
        </w:rPr>
        <w:t>Prata</w:t>
      </w:r>
      <w:proofErr w:type="spellEnd"/>
      <w:r w:rsidRPr="000A58DA">
        <w:rPr>
          <w:rFonts w:cs="Times New Roman"/>
          <w:szCs w:val="24"/>
        </w:rPr>
        <w:t xml:space="preserve"> 2009). However, longer term credit for big-ticket manufactured exports, as well as export financing for firms too small to access global financing, increasingly comes from the BNDES. </w:t>
      </w:r>
      <w:r>
        <w:rPr>
          <w:rFonts w:cs="Times New Roman"/>
          <w:szCs w:val="24"/>
        </w:rPr>
        <w:t>T</w:t>
      </w:r>
      <w:r w:rsidRPr="000A58DA">
        <w:rPr>
          <w:rFonts w:cs="Times New Roman"/>
          <w:szCs w:val="24"/>
        </w:rPr>
        <w:t xml:space="preserve">he BNDES website actively encourages borrowers to combine resources from </w:t>
      </w:r>
      <w:r w:rsidRPr="000A58DA">
        <w:rPr>
          <w:rFonts w:cs="Times New Roman"/>
          <w:szCs w:val="24"/>
        </w:rPr>
        <w:lastRenderedPageBreak/>
        <w:t xml:space="preserve">multiple different credit lines, </w:t>
      </w:r>
      <w:r>
        <w:rPr>
          <w:rFonts w:cs="Times New Roman"/>
          <w:szCs w:val="24"/>
        </w:rPr>
        <w:t xml:space="preserve">so </w:t>
      </w:r>
      <w:r w:rsidRPr="000A58DA">
        <w:rPr>
          <w:rFonts w:cs="Times New Roman"/>
          <w:szCs w:val="24"/>
        </w:rPr>
        <w:t>the total of financial resources dedicated to assisting exports likely is many times larger than official totals for “export” financing. BNDES Exim loans (earlier called FINAMEX), nonetheless have increased dramatically, rising from 4 percent of total BNDES loan disbursements in 1996 to 11.5 percent in 2009.</w:t>
      </w:r>
      <w:r w:rsidRPr="000A58DA">
        <w:rPr>
          <w:rStyle w:val="EndnoteReference"/>
          <w:rFonts w:cs="Times New Roman"/>
          <w:szCs w:val="24"/>
        </w:rPr>
        <w:endnoteReference w:id="6"/>
      </w:r>
      <w:r w:rsidRPr="000A58DA">
        <w:rPr>
          <w:rFonts w:cs="Times New Roman"/>
          <w:szCs w:val="24"/>
        </w:rPr>
        <w:t xml:space="preserve"> Real resources going to support exports have increased even more, given the large expansion in BNDES disbursements during this period (as in Figure 1). The U.S. </w:t>
      </w:r>
      <w:proofErr w:type="spellStart"/>
      <w:r w:rsidRPr="000A58DA">
        <w:rPr>
          <w:rFonts w:cs="Times New Roman"/>
          <w:szCs w:val="24"/>
        </w:rPr>
        <w:t>Eximbank</w:t>
      </w:r>
      <w:proofErr w:type="spellEnd"/>
      <w:r w:rsidRPr="000A58DA">
        <w:rPr>
          <w:rFonts w:cs="Times New Roman"/>
          <w:szCs w:val="24"/>
        </w:rPr>
        <w:t xml:space="preserve"> expresses concern that the trio of China, Brazil, and India all subsidize exports significantly (U.S. </w:t>
      </w:r>
      <w:proofErr w:type="spellStart"/>
      <w:r w:rsidRPr="000A58DA">
        <w:rPr>
          <w:rFonts w:cs="Times New Roman"/>
          <w:szCs w:val="24"/>
        </w:rPr>
        <w:t>Eximbank</w:t>
      </w:r>
      <w:proofErr w:type="spellEnd"/>
      <w:r w:rsidRPr="000A58DA">
        <w:rPr>
          <w:rFonts w:cs="Times New Roman"/>
          <w:szCs w:val="24"/>
        </w:rPr>
        <w:t xml:space="preserve"> 2005: Appendix F). </w:t>
      </w:r>
    </w:p>
    <w:p w:rsidR="00081943" w:rsidRPr="000A58DA" w:rsidRDefault="00081943" w:rsidP="00081943">
      <w:pPr>
        <w:spacing w:line="480" w:lineRule="auto"/>
        <w:rPr>
          <w:rFonts w:cs="Times New Roman"/>
          <w:szCs w:val="24"/>
        </w:rPr>
      </w:pPr>
      <w:r w:rsidRPr="000A58DA">
        <w:rPr>
          <w:rFonts w:cs="Times New Roman"/>
          <w:szCs w:val="24"/>
        </w:rPr>
        <w:tab/>
        <w:t xml:space="preserve">More intriguing--and controversial--are the further steps the BNDES has taken since the mid-2000s, </w:t>
      </w:r>
      <w:r>
        <w:rPr>
          <w:rFonts w:cs="Times New Roman"/>
          <w:szCs w:val="24"/>
        </w:rPr>
        <w:t xml:space="preserve">termed </w:t>
      </w:r>
      <w:r w:rsidRPr="000A58DA">
        <w:rPr>
          <w:rFonts w:cs="Times New Roman"/>
          <w:szCs w:val="24"/>
        </w:rPr>
        <w:t xml:space="preserve">promoting the “internationalization” of Brazilian business. The BNDES, at the behest of Brazil’s </w:t>
      </w:r>
      <w:r>
        <w:rPr>
          <w:rFonts w:cs="Times New Roman"/>
          <w:szCs w:val="24"/>
        </w:rPr>
        <w:t xml:space="preserve">long-serving finance minister, Guido </w:t>
      </w:r>
      <w:proofErr w:type="spellStart"/>
      <w:r>
        <w:rPr>
          <w:rFonts w:cs="Times New Roman"/>
          <w:szCs w:val="24"/>
        </w:rPr>
        <w:t>Mantega</w:t>
      </w:r>
      <w:proofErr w:type="spellEnd"/>
      <w:r>
        <w:rPr>
          <w:rFonts w:cs="Times New Roman"/>
          <w:szCs w:val="24"/>
        </w:rPr>
        <w:t xml:space="preserve">, </w:t>
      </w:r>
      <w:r w:rsidRPr="000A58DA">
        <w:rPr>
          <w:rFonts w:cs="Times New Roman"/>
          <w:szCs w:val="24"/>
        </w:rPr>
        <w:t xml:space="preserve">has </w:t>
      </w:r>
      <w:r>
        <w:rPr>
          <w:rFonts w:cs="Times New Roman"/>
          <w:szCs w:val="24"/>
        </w:rPr>
        <w:t>promoted</w:t>
      </w:r>
      <w:r w:rsidRPr="000A58DA">
        <w:rPr>
          <w:rFonts w:cs="Times New Roman"/>
          <w:szCs w:val="24"/>
        </w:rPr>
        <w:t xml:space="preserve"> “national champions,” that is, specific firms judged able to compete with the largest transnationals in global markets. </w:t>
      </w:r>
      <w:r w:rsidRPr="000A58DA">
        <w:rPr>
          <w:rFonts w:cs="Times New Roman"/>
          <w:i/>
          <w:szCs w:val="24"/>
        </w:rPr>
        <w:t>De facto</w:t>
      </w:r>
      <w:r w:rsidRPr="000A58DA">
        <w:rPr>
          <w:rFonts w:cs="Times New Roman"/>
          <w:szCs w:val="24"/>
        </w:rPr>
        <w:t xml:space="preserve">, this means that </w:t>
      </w:r>
      <w:r>
        <w:rPr>
          <w:rFonts w:cs="Times New Roman"/>
          <w:szCs w:val="24"/>
        </w:rPr>
        <w:t xml:space="preserve">the taxpayer-supported BNDES </w:t>
      </w:r>
      <w:r w:rsidRPr="000A58DA">
        <w:rPr>
          <w:rFonts w:cs="Times New Roman"/>
          <w:szCs w:val="24"/>
        </w:rPr>
        <w:t>act</w:t>
      </w:r>
      <w:r>
        <w:rPr>
          <w:rFonts w:cs="Times New Roman"/>
          <w:szCs w:val="24"/>
        </w:rPr>
        <w:t>s</w:t>
      </w:r>
      <w:r w:rsidRPr="000A58DA">
        <w:rPr>
          <w:rFonts w:cs="Times New Roman"/>
          <w:szCs w:val="24"/>
        </w:rPr>
        <w:t xml:space="preserve"> as a full-service merchant bank to Brazil’s largest transnational firms, financing almost </w:t>
      </w:r>
      <w:r>
        <w:rPr>
          <w:rFonts w:cs="Times New Roman"/>
          <w:szCs w:val="24"/>
        </w:rPr>
        <w:t xml:space="preserve">any </w:t>
      </w:r>
      <w:r w:rsidRPr="000A58DA">
        <w:rPr>
          <w:rFonts w:cs="Times New Roman"/>
          <w:szCs w:val="24"/>
        </w:rPr>
        <w:t xml:space="preserve">activity that forms part of one of these firms’ strategic corporate vision. Most innovative--or merely startling—have been BNDES loans to giant companies such as the meatpacker, JBS </w:t>
      </w:r>
      <w:proofErr w:type="spellStart"/>
      <w:r w:rsidRPr="000A58DA">
        <w:rPr>
          <w:rFonts w:cs="Times New Roman"/>
          <w:szCs w:val="24"/>
        </w:rPr>
        <w:t>Friboi</w:t>
      </w:r>
      <w:proofErr w:type="spellEnd"/>
      <w:r w:rsidRPr="000A58DA">
        <w:rPr>
          <w:rFonts w:cs="Times New Roman"/>
          <w:szCs w:val="24"/>
        </w:rPr>
        <w:t>, now one of the largest firms in its industry worldwide, to gobble up foreign rivals through mergers and acquisitions (</w:t>
      </w:r>
      <w:r w:rsidRPr="000A58DA">
        <w:rPr>
          <w:rFonts w:cs="Times New Roman"/>
          <w:i/>
          <w:szCs w:val="24"/>
        </w:rPr>
        <w:t xml:space="preserve">Latin Finance </w:t>
      </w:r>
      <w:r>
        <w:rPr>
          <w:rFonts w:cs="Times New Roman"/>
          <w:szCs w:val="24"/>
        </w:rPr>
        <w:t>2009). T</w:t>
      </w:r>
      <w:r w:rsidRPr="000A58DA">
        <w:rPr>
          <w:rFonts w:cs="Times New Roman"/>
          <w:szCs w:val="24"/>
        </w:rPr>
        <w:t xml:space="preserve">he BNDES assisted the wood products company, </w:t>
      </w:r>
      <w:proofErr w:type="spellStart"/>
      <w:r w:rsidRPr="000A58DA">
        <w:rPr>
          <w:rFonts w:cs="Times New Roman"/>
          <w:szCs w:val="24"/>
        </w:rPr>
        <w:t>Aracruz</w:t>
      </w:r>
      <w:proofErr w:type="spellEnd"/>
      <w:r w:rsidRPr="000A58DA">
        <w:rPr>
          <w:rFonts w:cs="Times New Roman"/>
          <w:szCs w:val="24"/>
        </w:rPr>
        <w:t xml:space="preserve">, to recoup foreign exchange bets gone wrong: in 2009 the bank arranged a merger with Brazilian rival </w:t>
      </w:r>
      <w:proofErr w:type="spellStart"/>
      <w:r w:rsidRPr="000A58DA">
        <w:rPr>
          <w:rFonts w:cs="Times New Roman"/>
          <w:szCs w:val="24"/>
        </w:rPr>
        <w:t>Votorantim</w:t>
      </w:r>
      <w:proofErr w:type="spellEnd"/>
      <w:r w:rsidRPr="000A58DA">
        <w:rPr>
          <w:rFonts w:cs="Times New Roman"/>
          <w:szCs w:val="24"/>
        </w:rPr>
        <w:t xml:space="preserve"> </w:t>
      </w:r>
      <w:proofErr w:type="spellStart"/>
      <w:r w:rsidRPr="000A58DA">
        <w:rPr>
          <w:rFonts w:cs="Times New Roman"/>
          <w:szCs w:val="24"/>
        </w:rPr>
        <w:t>Papel</w:t>
      </w:r>
      <w:proofErr w:type="spellEnd"/>
      <w:r w:rsidRPr="000A58DA">
        <w:rPr>
          <w:rFonts w:cs="Times New Roman"/>
          <w:szCs w:val="24"/>
        </w:rPr>
        <w:t xml:space="preserve"> e Cellulose, forming the new company </w:t>
      </w:r>
      <w:proofErr w:type="spellStart"/>
      <w:r w:rsidRPr="000A58DA">
        <w:rPr>
          <w:rFonts w:cs="Times New Roman"/>
          <w:szCs w:val="24"/>
        </w:rPr>
        <w:t>Fibria</w:t>
      </w:r>
      <w:proofErr w:type="spellEnd"/>
      <w:r w:rsidRPr="000A58DA">
        <w:rPr>
          <w:rFonts w:cs="Times New Roman"/>
          <w:szCs w:val="24"/>
        </w:rPr>
        <w:t xml:space="preserve"> (Valle 2012). The BNDES also has opened large credit lines for foreign governments to acquire Brazilian goods and services, often from one or a handful of companies. From 2006 to 2012, the BNDES extended US$ 3.2 billion in loans to the government of Angola, of which almost half purchased consulting and construction services from Brazil’s mega-engineering firm, </w:t>
      </w:r>
      <w:proofErr w:type="spellStart"/>
      <w:r w:rsidRPr="000A58DA">
        <w:rPr>
          <w:rFonts w:cs="Times New Roman"/>
          <w:szCs w:val="24"/>
        </w:rPr>
        <w:t>Odebrecht</w:t>
      </w:r>
      <w:proofErr w:type="spellEnd"/>
      <w:r w:rsidRPr="000A58DA">
        <w:rPr>
          <w:rFonts w:cs="Times New Roman"/>
          <w:szCs w:val="24"/>
        </w:rPr>
        <w:t xml:space="preserve"> (</w:t>
      </w:r>
      <w:proofErr w:type="spellStart"/>
      <w:r w:rsidRPr="000A58DA">
        <w:rPr>
          <w:rFonts w:cs="Times New Roman"/>
          <w:szCs w:val="24"/>
        </w:rPr>
        <w:t>Fellet</w:t>
      </w:r>
      <w:proofErr w:type="spellEnd"/>
      <w:r w:rsidRPr="000A58DA">
        <w:rPr>
          <w:rFonts w:cs="Times New Roman"/>
          <w:szCs w:val="24"/>
        </w:rPr>
        <w:t xml:space="preserve"> 2012).</w:t>
      </w:r>
    </w:p>
    <w:p w:rsidR="00081943" w:rsidRPr="000A58DA" w:rsidRDefault="00081943" w:rsidP="00081943">
      <w:pPr>
        <w:spacing w:line="480" w:lineRule="auto"/>
        <w:rPr>
          <w:rFonts w:cs="Times New Roman"/>
          <w:szCs w:val="24"/>
        </w:rPr>
      </w:pPr>
      <w:r w:rsidRPr="000A58DA">
        <w:rPr>
          <w:rFonts w:cs="Times New Roman"/>
          <w:szCs w:val="24"/>
        </w:rPr>
        <w:lastRenderedPageBreak/>
        <w:tab/>
        <w:t xml:space="preserve">A </w:t>
      </w:r>
      <w:r>
        <w:rPr>
          <w:rFonts w:cs="Times New Roman"/>
          <w:szCs w:val="24"/>
        </w:rPr>
        <w:t xml:space="preserve">few firms have received a lot of money. </w:t>
      </w:r>
      <w:r w:rsidRPr="000A58DA">
        <w:rPr>
          <w:rFonts w:cs="Times New Roman"/>
          <w:szCs w:val="24"/>
        </w:rPr>
        <w:t xml:space="preserve">From 2008-12 the BNDES lent a cumulative R$40.8 billion (approximately US$22.7 billion) to only six firms, all privately-owned: JBS </w:t>
      </w:r>
      <w:proofErr w:type="spellStart"/>
      <w:r w:rsidRPr="000A58DA">
        <w:rPr>
          <w:rFonts w:cs="Times New Roman"/>
          <w:szCs w:val="24"/>
        </w:rPr>
        <w:t>Friboi</w:t>
      </w:r>
      <w:proofErr w:type="spellEnd"/>
      <w:r w:rsidRPr="000A58DA">
        <w:rPr>
          <w:rFonts w:cs="Times New Roman"/>
          <w:szCs w:val="24"/>
        </w:rPr>
        <w:t xml:space="preserve">, </w:t>
      </w:r>
      <w:proofErr w:type="spellStart"/>
      <w:r w:rsidRPr="000A58DA">
        <w:rPr>
          <w:rFonts w:cs="Times New Roman"/>
          <w:szCs w:val="24"/>
        </w:rPr>
        <w:t>Marfrig</w:t>
      </w:r>
      <w:proofErr w:type="spellEnd"/>
      <w:r w:rsidRPr="000A58DA">
        <w:rPr>
          <w:rFonts w:cs="Times New Roman"/>
          <w:szCs w:val="24"/>
        </w:rPr>
        <w:t xml:space="preserve"> (</w:t>
      </w:r>
      <w:r>
        <w:rPr>
          <w:rFonts w:cs="Times New Roman"/>
          <w:szCs w:val="24"/>
        </w:rPr>
        <w:t xml:space="preserve">both </w:t>
      </w:r>
      <w:r w:rsidRPr="000A58DA">
        <w:rPr>
          <w:rFonts w:cs="Times New Roman"/>
          <w:szCs w:val="24"/>
        </w:rPr>
        <w:t xml:space="preserve">frozen foods), </w:t>
      </w:r>
      <w:proofErr w:type="spellStart"/>
      <w:r w:rsidRPr="000A58DA">
        <w:rPr>
          <w:rFonts w:cs="Times New Roman"/>
          <w:szCs w:val="24"/>
        </w:rPr>
        <w:t>Oi</w:t>
      </w:r>
      <w:proofErr w:type="spellEnd"/>
      <w:r w:rsidRPr="000A58DA">
        <w:rPr>
          <w:rFonts w:cs="Times New Roman"/>
          <w:szCs w:val="24"/>
        </w:rPr>
        <w:t xml:space="preserve"> (telecommunications), BRF </w:t>
      </w:r>
      <w:proofErr w:type="spellStart"/>
      <w:r w:rsidRPr="000A58DA">
        <w:rPr>
          <w:rFonts w:cs="Times New Roman"/>
          <w:szCs w:val="24"/>
        </w:rPr>
        <w:t>Brasil</w:t>
      </w:r>
      <w:proofErr w:type="spellEnd"/>
      <w:r w:rsidRPr="000A58DA">
        <w:rPr>
          <w:rFonts w:cs="Times New Roman"/>
          <w:szCs w:val="24"/>
        </w:rPr>
        <w:t xml:space="preserve"> Foods (food and beverages), </w:t>
      </w:r>
      <w:proofErr w:type="spellStart"/>
      <w:r w:rsidRPr="000A58DA">
        <w:rPr>
          <w:rFonts w:cs="Times New Roman"/>
          <w:szCs w:val="24"/>
        </w:rPr>
        <w:t>Fibria</w:t>
      </w:r>
      <w:proofErr w:type="spellEnd"/>
      <w:r w:rsidRPr="000A58DA">
        <w:rPr>
          <w:rFonts w:cs="Times New Roman"/>
          <w:szCs w:val="24"/>
        </w:rPr>
        <w:t xml:space="preserve"> (pulp and paper), and </w:t>
      </w:r>
      <w:proofErr w:type="spellStart"/>
      <w:r w:rsidRPr="000A58DA">
        <w:rPr>
          <w:rFonts w:cs="Times New Roman"/>
          <w:szCs w:val="24"/>
        </w:rPr>
        <w:t>Ambev</w:t>
      </w:r>
      <w:proofErr w:type="spellEnd"/>
      <w:r w:rsidRPr="000A58DA">
        <w:rPr>
          <w:rFonts w:cs="Times New Roman"/>
          <w:szCs w:val="24"/>
        </w:rPr>
        <w:t xml:space="preserve"> (food and beverages) (</w:t>
      </w:r>
      <w:r w:rsidRPr="000A58DA">
        <w:rPr>
          <w:rFonts w:cs="Times New Roman"/>
          <w:i/>
          <w:szCs w:val="24"/>
        </w:rPr>
        <w:t xml:space="preserve">O </w:t>
      </w:r>
      <w:proofErr w:type="spellStart"/>
      <w:r w:rsidRPr="000A58DA">
        <w:rPr>
          <w:rFonts w:cs="Times New Roman"/>
          <w:i/>
          <w:szCs w:val="24"/>
        </w:rPr>
        <w:t>Globo</w:t>
      </w:r>
      <w:proofErr w:type="spellEnd"/>
      <w:r w:rsidRPr="000A58DA">
        <w:rPr>
          <w:rFonts w:cs="Times New Roman"/>
          <w:i/>
          <w:szCs w:val="24"/>
        </w:rPr>
        <w:t xml:space="preserve"> </w:t>
      </w:r>
      <w:r w:rsidRPr="000A58DA">
        <w:rPr>
          <w:rFonts w:cs="Times New Roman"/>
          <w:szCs w:val="24"/>
        </w:rPr>
        <w:t xml:space="preserve">2011). Of the BNDES’ total loan portfolio of outstanding loans as of  mid-2012, 39 percent had gone to the top 5 borrowers, and a further 28 percent to the 50 next largest borrowers, revealing a high degree of concentration of funding (BNDES 2011:53). 80 percent by value </w:t>
      </w:r>
      <w:r>
        <w:rPr>
          <w:rFonts w:cs="Times New Roman"/>
          <w:szCs w:val="24"/>
        </w:rPr>
        <w:t xml:space="preserve">of BNDES’ equity holdings are of shares of state-owned or </w:t>
      </w:r>
      <w:r>
        <w:rPr>
          <w:rFonts w:cs="Times New Roman"/>
          <w:i/>
          <w:szCs w:val="24"/>
        </w:rPr>
        <w:t xml:space="preserve">de facto </w:t>
      </w:r>
      <w:r>
        <w:rPr>
          <w:rFonts w:cs="Times New Roman"/>
          <w:szCs w:val="24"/>
        </w:rPr>
        <w:t xml:space="preserve">controlled firms (such as </w:t>
      </w:r>
      <w:proofErr w:type="spellStart"/>
      <w:r>
        <w:rPr>
          <w:rFonts w:cs="Times New Roman"/>
          <w:szCs w:val="24"/>
        </w:rPr>
        <w:t>Petrobras</w:t>
      </w:r>
      <w:proofErr w:type="spellEnd"/>
      <w:r>
        <w:rPr>
          <w:rFonts w:cs="Times New Roman"/>
          <w:szCs w:val="24"/>
        </w:rPr>
        <w:t xml:space="preserve"> and Vale, in petroleum and mining, respectively), each of which would fit any list of plausible national champions </w:t>
      </w:r>
      <w:r w:rsidRPr="000A58DA">
        <w:rPr>
          <w:rFonts w:cs="Times New Roman"/>
          <w:szCs w:val="24"/>
        </w:rPr>
        <w:t xml:space="preserve">(BNDES 2012 </w:t>
      </w:r>
      <w:proofErr w:type="spellStart"/>
      <w:r w:rsidRPr="000A58DA">
        <w:rPr>
          <w:rFonts w:cs="Times New Roman"/>
          <w:szCs w:val="24"/>
        </w:rPr>
        <w:t>Acctng</w:t>
      </w:r>
      <w:proofErr w:type="spellEnd"/>
      <w:r w:rsidRPr="000A58DA">
        <w:rPr>
          <w:rFonts w:cs="Times New Roman"/>
          <w:szCs w:val="24"/>
        </w:rPr>
        <w:t xml:space="preserve"> </w:t>
      </w:r>
      <w:proofErr w:type="spellStart"/>
      <w:r w:rsidRPr="000A58DA">
        <w:rPr>
          <w:rFonts w:cs="Times New Roman"/>
          <w:szCs w:val="24"/>
        </w:rPr>
        <w:t>Rpt</w:t>
      </w:r>
      <w:proofErr w:type="spellEnd"/>
      <w:r w:rsidRPr="000A58DA">
        <w:rPr>
          <w:rFonts w:cs="Times New Roman"/>
          <w:szCs w:val="24"/>
        </w:rPr>
        <w:t xml:space="preserve">: 4). </w:t>
      </w:r>
      <w:r>
        <w:rPr>
          <w:rFonts w:cs="Times New Roman"/>
          <w:szCs w:val="24"/>
        </w:rPr>
        <w:t xml:space="preserve">Yet the Bank also owns large </w:t>
      </w:r>
      <w:proofErr w:type="spellStart"/>
      <w:r>
        <w:rPr>
          <w:rFonts w:cs="Times New Roman"/>
          <w:szCs w:val="24"/>
        </w:rPr>
        <w:t>blocs</w:t>
      </w:r>
      <w:proofErr w:type="spellEnd"/>
      <w:r>
        <w:rPr>
          <w:rFonts w:cs="Times New Roman"/>
          <w:szCs w:val="24"/>
        </w:rPr>
        <w:t xml:space="preserve"> of shares in firms generally understood as private, including </w:t>
      </w:r>
      <w:r w:rsidRPr="000A58DA">
        <w:rPr>
          <w:rFonts w:cs="Times New Roman"/>
          <w:szCs w:val="24"/>
        </w:rPr>
        <w:t xml:space="preserve">30.4 percent of </w:t>
      </w:r>
      <w:proofErr w:type="spellStart"/>
      <w:r w:rsidRPr="000A58DA">
        <w:rPr>
          <w:rFonts w:cs="Times New Roman"/>
          <w:szCs w:val="24"/>
        </w:rPr>
        <w:t>Fibria</w:t>
      </w:r>
      <w:proofErr w:type="spellEnd"/>
      <w:r w:rsidRPr="000A58DA">
        <w:rPr>
          <w:rFonts w:cs="Times New Roman"/>
          <w:szCs w:val="24"/>
        </w:rPr>
        <w:t xml:space="preserve">, 20.25 percent of </w:t>
      </w:r>
      <w:proofErr w:type="spellStart"/>
      <w:r w:rsidRPr="000A58DA">
        <w:rPr>
          <w:rFonts w:cs="Times New Roman"/>
          <w:szCs w:val="24"/>
        </w:rPr>
        <w:t>Klabin</w:t>
      </w:r>
      <w:proofErr w:type="spellEnd"/>
      <w:r w:rsidRPr="000A58DA">
        <w:rPr>
          <w:rFonts w:cs="Times New Roman"/>
          <w:szCs w:val="24"/>
        </w:rPr>
        <w:t xml:space="preserve"> (pulp and paper), 17.3 percent of JBS </w:t>
      </w:r>
      <w:proofErr w:type="spellStart"/>
      <w:r w:rsidRPr="000A58DA">
        <w:rPr>
          <w:rFonts w:cs="Times New Roman"/>
          <w:szCs w:val="24"/>
        </w:rPr>
        <w:t>Friboi</w:t>
      </w:r>
      <w:proofErr w:type="spellEnd"/>
      <w:r w:rsidRPr="000A58DA">
        <w:rPr>
          <w:rFonts w:cs="Times New Roman"/>
          <w:szCs w:val="24"/>
        </w:rPr>
        <w:t xml:space="preserve">, 13.9 percent of </w:t>
      </w:r>
      <w:proofErr w:type="spellStart"/>
      <w:r w:rsidRPr="000A58DA">
        <w:rPr>
          <w:rFonts w:cs="Times New Roman"/>
          <w:szCs w:val="24"/>
        </w:rPr>
        <w:t>Marfrig</w:t>
      </w:r>
      <w:proofErr w:type="spellEnd"/>
      <w:r w:rsidRPr="000A58DA">
        <w:rPr>
          <w:rFonts w:cs="Times New Roman"/>
          <w:szCs w:val="24"/>
        </w:rPr>
        <w:t xml:space="preserve">, 12.2 percent of America Latina </w:t>
      </w:r>
      <w:proofErr w:type="spellStart"/>
      <w:r w:rsidRPr="000A58DA">
        <w:rPr>
          <w:rFonts w:cs="Times New Roman"/>
          <w:szCs w:val="24"/>
        </w:rPr>
        <w:t>Logística</w:t>
      </w:r>
      <w:proofErr w:type="spellEnd"/>
      <w:r w:rsidRPr="000A58DA">
        <w:rPr>
          <w:rFonts w:cs="Times New Roman"/>
          <w:szCs w:val="24"/>
        </w:rPr>
        <w:t xml:space="preserve"> (transportation infrastructure), and 3.5 percent of </w:t>
      </w:r>
      <w:proofErr w:type="spellStart"/>
      <w:r>
        <w:rPr>
          <w:rFonts w:cs="Times New Roman"/>
          <w:szCs w:val="24"/>
        </w:rPr>
        <w:t>Gerdau</w:t>
      </w:r>
      <w:proofErr w:type="spellEnd"/>
      <w:r>
        <w:rPr>
          <w:rFonts w:cs="Times New Roman"/>
          <w:szCs w:val="24"/>
        </w:rPr>
        <w:t xml:space="preserve"> (construction)</w:t>
      </w:r>
      <w:r w:rsidRPr="000A58DA">
        <w:rPr>
          <w:rFonts w:cs="Times New Roman"/>
          <w:szCs w:val="24"/>
        </w:rPr>
        <w:t xml:space="preserve"> (</w:t>
      </w:r>
      <w:proofErr w:type="spellStart"/>
      <w:r w:rsidRPr="000A58DA">
        <w:rPr>
          <w:rFonts w:cs="Times New Roman"/>
          <w:szCs w:val="24"/>
        </w:rPr>
        <w:t>Bugiato</w:t>
      </w:r>
      <w:proofErr w:type="spellEnd"/>
      <w:r w:rsidRPr="000A58DA">
        <w:rPr>
          <w:rFonts w:cs="Times New Roman"/>
          <w:szCs w:val="24"/>
        </w:rPr>
        <w:t xml:space="preserve"> 2012:31). </w:t>
      </w:r>
    </w:p>
    <w:p w:rsidR="00081943" w:rsidRPr="000A58DA" w:rsidRDefault="00081943" w:rsidP="00081943">
      <w:pPr>
        <w:spacing w:line="480" w:lineRule="auto"/>
        <w:rPr>
          <w:rFonts w:cs="Times New Roman"/>
          <w:szCs w:val="24"/>
        </w:rPr>
      </w:pPr>
      <w:r>
        <w:rPr>
          <w:rFonts w:cs="Times New Roman"/>
          <w:szCs w:val="24"/>
        </w:rPr>
        <w:tab/>
        <w:t xml:space="preserve">A related goal of Brazil’s ND policies from the mid-1990s onwards </w:t>
      </w:r>
      <w:r w:rsidRPr="000A58DA">
        <w:rPr>
          <w:rFonts w:cs="Times New Roman"/>
          <w:szCs w:val="24"/>
        </w:rPr>
        <w:t>has been South Amer</w:t>
      </w:r>
      <w:r>
        <w:rPr>
          <w:rFonts w:cs="Times New Roman"/>
          <w:szCs w:val="24"/>
        </w:rPr>
        <w:t xml:space="preserve">ican economic integration, </w:t>
      </w:r>
      <w:r w:rsidRPr="000A58DA">
        <w:rPr>
          <w:rFonts w:cs="Times New Roman"/>
          <w:szCs w:val="24"/>
        </w:rPr>
        <w:t>by</w:t>
      </w:r>
      <w:r>
        <w:rPr>
          <w:rFonts w:cs="Times New Roman"/>
          <w:szCs w:val="24"/>
        </w:rPr>
        <w:t xml:space="preserve"> both</w:t>
      </w:r>
      <w:r w:rsidRPr="000A58DA">
        <w:rPr>
          <w:rFonts w:cs="Times New Roman"/>
          <w:szCs w:val="24"/>
        </w:rPr>
        <w:t xml:space="preserve"> reducing intra-continental trade barriers and promoting the construction of new transportation and power infrastructure</w:t>
      </w:r>
      <w:r>
        <w:rPr>
          <w:rFonts w:cs="Times New Roman"/>
          <w:szCs w:val="24"/>
        </w:rPr>
        <w:t xml:space="preserve">. Presidents of both center-right and center-left have supported </w:t>
      </w:r>
      <w:r w:rsidRPr="000A58DA">
        <w:rPr>
          <w:rFonts w:cs="Times New Roman"/>
          <w:szCs w:val="24"/>
        </w:rPr>
        <w:t>the complex of 31 projects, all involving two or more sovereign states, organized under the aegis of the IIRSA (Integrated Regional Infrastructure for South America) program, an ambitious multilateral collaboration process inaugurated in 2000.</w:t>
      </w:r>
      <w:r w:rsidRPr="000A58DA">
        <w:rPr>
          <w:rStyle w:val="EndnoteReference"/>
          <w:rFonts w:cs="Times New Roman"/>
          <w:szCs w:val="24"/>
        </w:rPr>
        <w:endnoteReference w:id="7"/>
      </w:r>
      <w:r w:rsidRPr="000A58DA">
        <w:rPr>
          <w:rFonts w:cs="Times New Roman"/>
          <w:szCs w:val="24"/>
        </w:rPr>
        <w:t xml:space="preserve"> The BNDES has provided whatever funds it can, within its legal mandate to suppor</w:t>
      </w:r>
      <w:r>
        <w:rPr>
          <w:rFonts w:cs="Times New Roman"/>
          <w:szCs w:val="24"/>
        </w:rPr>
        <w:t>t only Brazilian firms. (Thus</w:t>
      </w:r>
      <w:r w:rsidRPr="000A58DA">
        <w:rPr>
          <w:rFonts w:cs="Times New Roman"/>
          <w:szCs w:val="24"/>
        </w:rPr>
        <w:t xml:space="preserve">, the BNDES will finance, for example, up to 80 percent of a loan to </w:t>
      </w:r>
      <w:r>
        <w:rPr>
          <w:rFonts w:cs="Times New Roman"/>
          <w:szCs w:val="24"/>
        </w:rPr>
        <w:t xml:space="preserve">Ecuador’s </w:t>
      </w:r>
      <w:r w:rsidRPr="000A58DA">
        <w:rPr>
          <w:rFonts w:cs="Times New Roman"/>
          <w:szCs w:val="24"/>
        </w:rPr>
        <w:t>government to hire a Brazilian construction company to build a dam.</w:t>
      </w:r>
      <w:r>
        <w:rPr>
          <w:rFonts w:cs="Times New Roman"/>
          <w:szCs w:val="24"/>
        </w:rPr>
        <w:t>)</w:t>
      </w:r>
      <w:r w:rsidRPr="000A58DA">
        <w:rPr>
          <w:rFonts w:cs="Times New Roman"/>
          <w:szCs w:val="24"/>
        </w:rPr>
        <w:t xml:space="preserve"> For Brazil</w:t>
      </w:r>
      <w:r>
        <w:rPr>
          <w:rFonts w:cs="Times New Roman"/>
          <w:szCs w:val="24"/>
        </w:rPr>
        <w:t>ian ND governments</w:t>
      </w:r>
      <w:r w:rsidRPr="000A58DA">
        <w:rPr>
          <w:rFonts w:cs="Times New Roman"/>
          <w:szCs w:val="24"/>
        </w:rPr>
        <w:t xml:space="preserve">, the focus on South American integration makes economic as well as political </w:t>
      </w:r>
      <w:r w:rsidRPr="000A58DA">
        <w:rPr>
          <w:rFonts w:cs="Times New Roman"/>
          <w:szCs w:val="24"/>
        </w:rPr>
        <w:lastRenderedPageBreak/>
        <w:t xml:space="preserve">sense: While Brazil’s exports to Asia are overwhelmingly commodities, and its sales to the U.S. and EU contain a mix of high and low-value-added products, Brazilian exports to Latin America and the Caribbean are overwhelmingly manufactures, as shown in Table 2. The </w:t>
      </w:r>
      <w:r>
        <w:rPr>
          <w:rFonts w:cs="Times New Roman"/>
          <w:szCs w:val="24"/>
        </w:rPr>
        <w:t xml:space="preserve">outward </w:t>
      </w:r>
      <w:r w:rsidRPr="000A58DA">
        <w:rPr>
          <w:rFonts w:cs="Times New Roman"/>
          <w:szCs w:val="24"/>
        </w:rPr>
        <w:t>foreign direct investment (“internationalization”) of Brazilian firms also has been focused on South America, with Argentina and Venezuela being particularly lucrative host markets, a circumstance that explains the otherwise puzzling support of Brazil’s conservative business community for the entry of left-leaning Venezuela into MERCOSUR (</w:t>
      </w:r>
      <w:proofErr w:type="spellStart"/>
      <w:r w:rsidRPr="000A58DA">
        <w:rPr>
          <w:rFonts w:cs="Times New Roman"/>
          <w:szCs w:val="24"/>
        </w:rPr>
        <w:t>Lissardy</w:t>
      </w:r>
      <w:proofErr w:type="spellEnd"/>
      <w:r w:rsidRPr="000A58DA">
        <w:rPr>
          <w:rFonts w:cs="Times New Roman"/>
          <w:szCs w:val="24"/>
        </w:rPr>
        <w:t xml:space="preserve"> 2011; </w:t>
      </w:r>
      <w:r w:rsidRPr="000A58DA">
        <w:rPr>
          <w:rFonts w:cs="Times New Roman"/>
          <w:i/>
          <w:szCs w:val="24"/>
        </w:rPr>
        <w:t xml:space="preserve">ESP </w:t>
      </w:r>
      <w:r w:rsidRPr="000A58DA">
        <w:rPr>
          <w:rFonts w:cs="Times New Roman"/>
          <w:szCs w:val="24"/>
        </w:rPr>
        <w:t xml:space="preserve">2012). </w:t>
      </w:r>
    </w:p>
    <w:p w:rsidR="00081943" w:rsidRPr="000A58DA" w:rsidRDefault="00081943" w:rsidP="00081943">
      <w:pPr>
        <w:spacing w:line="480" w:lineRule="auto"/>
        <w:jc w:val="center"/>
        <w:rPr>
          <w:rFonts w:cs="Times New Roman"/>
          <w:szCs w:val="24"/>
        </w:rPr>
      </w:pPr>
      <w:r w:rsidRPr="000A58DA">
        <w:rPr>
          <w:rFonts w:cs="Times New Roman"/>
          <w:szCs w:val="24"/>
        </w:rPr>
        <w:t>&lt; Table 2 about here &gt;</w:t>
      </w:r>
    </w:p>
    <w:p w:rsidR="00081943" w:rsidRDefault="00081943" w:rsidP="00081943">
      <w:pPr>
        <w:spacing w:line="480" w:lineRule="auto"/>
        <w:rPr>
          <w:rFonts w:cs="Times New Roman"/>
          <w:szCs w:val="24"/>
        </w:rPr>
      </w:pPr>
      <w:r w:rsidRPr="000A58DA">
        <w:rPr>
          <w:rFonts w:cs="Times New Roman"/>
          <w:szCs w:val="24"/>
        </w:rPr>
        <w:tab/>
      </w:r>
      <w:r>
        <w:rPr>
          <w:rFonts w:cs="Times New Roman"/>
          <w:szCs w:val="24"/>
        </w:rPr>
        <w:t xml:space="preserve">Is there a problem? </w:t>
      </w:r>
      <w:r w:rsidRPr="000A58DA">
        <w:rPr>
          <w:rFonts w:cs="Times New Roman"/>
          <w:szCs w:val="24"/>
        </w:rPr>
        <w:t>The Expe</w:t>
      </w:r>
      <w:r>
        <w:rPr>
          <w:rFonts w:cs="Times New Roman"/>
          <w:szCs w:val="24"/>
        </w:rPr>
        <w:t>r</w:t>
      </w:r>
      <w:r w:rsidRPr="000A58DA">
        <w:rPr>
          <w:rFonts w:cs="Times New Roman"/>
          <w:szCs w:val="24"/>
        </w:rPr>
        <w:t xml:space="preserve">tise displayed continues high: for example, BNDES officials take great care to demonstrate that the </w:t>
      </w:r>
      <w:r>
        <w:rPr>
          <w:rFonts w:cs="Times New Roman"/>
          <w:szCs w:val="24"/>
        </w:rPr>
        <w:t xml:space="preserve">BNDES </w:t>
      </w:r>
      <w:r w:rsidRPr="000A58DA">
        <w:rPr>
          <w:rFonts w:cs="Times New Roman"/>
          <w:szCs w:val="24"/>
        </w:rPr>
        <w:t xml:space="preserve">is profitable and a good steward of the funds entrusted to it—although this judgment takes as a given its low cost of funds. </w:t>
      </w:r>
      <w:r>
        <w:rPr>
          <w:rFonts w:cs="Times New Roman"/>
          <w:szCs w:val="24"/>
        </w:rPr>
        <w:t xml:space="preserve">But some critics maintain that the Bank’s heavy support for oligopoly players undercuts Democracy.. </w:t>
      </w:r>
      <w:r w:rsidRPr="000A58DA">
        <w:rPr>
          <w:rFonts w:cs="Times New Roman"/>
          <w:szCs w:val="24"/>
        </w:rPr>
        <w:t xml:space="preserve">Critics from the left, both within and outside Brazil, conceptualize Brazil’s continental policies as expansionist and </w:t>
      </w:r>
      <w:proofErr w:type="spellStart"/>
      <w:r w:rsidRPr="000A58DA">
        <w:rPr>
          <w:rFonts w:cs="Times New Roman"/>
          <w:szCs w:val="24"/>
        </w:rPr>
        <w:t>neoimperialist</w:t>
      </w:r>
      <w:proofErr w:type="spellEnd"/>
      <w:r w:rsidRPr="000A58DA">
        <w:rPr>
          <w:rFonts w:cs="Times New Roman"/>
          <w:szCs w:val="24"/>
        </w:rPr>
        <w:t xml:space="preserve"> (Luce 2007; </w:t>
      </w:r>
      <w:proofErr w:type="spellStart"/>
      <w:r w:rsidRPr="000A58DA">
        <w:rPr>
          <w:rFonts w:cs="Times New Roman"/>
          <w:szCs w:val="24"/>
        </w:rPr>
        <w:t>Zibechi</w:t>
      </w:r>
      <w:proofErr w:type="spellEnd"/>
      <w:r w:rsidRPr="000A58DA">
        <w:rPr>
          <w:rFonts w:cs="Times New Roman"/>
          <w:szCs w:val="24"/>
        </w:rPr>
        <w:t xml:space="preserve"> 2012; Costas 2012). </w:t>
      </w:r>
      <w:r>
        <w:rPr>
          <w:rFonts w:cs="Times New Roman"/>
          <w:szCs w:val="24"/>
        </w:rPr>
        <w:t xml:space="preserve">Others question BNDES </w:t>
      </w:r>
      <w:r w:rsidRPr="000A58DA">
        <w:rPr>
          <w:rFonts w:cs="Times New Roman"/>
          <w:szCs w:val="24"/>
        </w:rPr>
        <w:t xml:space="preserve">financing Brazilian firms </w:t>
      </w:r>
      <w:r>
        <w:rPr>
          <w:rFonts w:cs="Times New Roman"/>
          <w:szCs w:val="24"/>
        </w:rPr>
        <w:t>to move their production—and thus potential Brazilian jobs—abroad.</w:t>
      </w:r>
      <w:r w:rsidRPr="000A58DA">
        <w:rPr>
          <w:rFonts w:cs="Times New Roman"/>
          <w:szCs w:val="24"/>
        </w:rPr>
        <w:t xml:space="preserve"> Building on an index developed by UNCTAD, researchers at the </w:t>
      </w:r>
      <w:proofErr w:type="spellStart"/>
      <w:r>
        <w:rPr>
          <w:rFonts w:cs="Times New Roman"/>
          <w:szCs w:val="24"/>
        </w:rPr>
        <w:t>Fundação</w:t>
      </w:r>
      <w:proofErr w:type="spellEnd"/>
      <w:r>
        <w:rPr>
          <w:rFonts w:cs="Times New Roman"/>
          <w:szCs w:val="24"/>
        </w:rPr>
        <w:t xml:space="preserve"> Dom Cabral</w:t>
      </w:r>
      <w:r w:rsidRPr="000A58DA">
        <w:rPr>
          <w:rFonts w:cs="Times New Roman"/>
          <w:szCs w:val="24"/>
        </w:rPr>
        <w:t xml:space="preserve"> calculated a firm’s “</w:t>
      </w:r>
      <w:proofErr w:type="spellStart"/>
      <w:r w:rsidRPr="000A58DA">
        <w:rPr>
          <w:rFonts w:cs="Times New Roman"/>
          <w:szCs w:val="24"/>
        </w:rPr>
        <w:t>transnationalization</w:t>
      </w:r>
      <w:proofErr w:type="spellEnd"/>
      <w:r w:rsidRPr="000A58DA">
        <w:rPr>
          <w:rFonts w:cs="Times New Roman"/>
          <w:szCs w:val="24"/>
        </w:rPr>
        <w:t xml:space="preserve">,” as the mean of three qualities: assets abroad as a share of total assets, revenues abroad as a share of total revenues, and employment abroad as a share of total employment. By this metric, the list of the most </w:t>
      </w:r>
      <w:proofErr w:type="spellStart"/>
      <w:r w:rsidRPr="000A58DA">
        <w:rPr>
          <w:rFonts w:cs="Times New Roman"/>
          <w:szCs w:val="24"/>
        </w:rPr>
        <w:t>transnationalized</w:t>
      </w:r>
      <w:proofErr w:type="spellEnd"/>
      <w:r w:rsidRPr="000A58DA">
        <w:rPr>
          <w:rFonts w:cs="Times New Roman"/>
          <w:szCs w:val="24"/>
        </w:rPr>
        <w:t xml:space="preserve"> Brazilian firms--including such names as JBS </w:t>
      </w:r>
      <w:proofErr w:type="spellStart"/>
      <w:r w:rsidRPr="000A58DA">
        <w:rPr>
          <w:rFonts w:cs="Times New Roman"/>
          <w:szCs w:val="24"/>
        </w:rPr>
        <w:t>Friboi</w:t>
      </w:r>
      <w:proofErr w:type="spellEnd"/>
      <w:r w:rsidRPr="000A58DA">
        <w:rPr>
          <w:rFonts w:cs="Times New Roman"/>
          <w:szCs w:val="24"/>
        </w:rPr>
        <w:t xml:space="preserve"> (54 percent </w:t>
      </w:r>
      <w:proofErr w:type="spellStart"/>
      <w:r w:rsidRPr="000A58DA">
        <w:rPr>
          <w:rFonts w:cs="Times New Roman"/>
          <w:szCs w:val="24"/>
        </w:rPr>
        <w:t>transnationalized</w:t>
      </w:r>
      <w:proofErr w:type="spellEnd"/>
      <w:r w:rsidRPr="000A58DA">
        <w:rPr>
          <w:rFonts w:cs="Times New Roman"/>
          <w:szCs w:val="24"/>
        </w:rPr>
        <w:t xml:space="preserve">, with 62 percent of employees abroad), </w:t>
      </w:r>
      <w:proofErr w:type="spellStart"/>
      <w:r w:rsidRPr="000A58DA">
        <w:rPr>
          <w:rFonts w:cs="Times New Roman"/>
          <w:szCs w:val="24"/>
        </w:rPr>
        <w:t>Gerdau</w:t>
      </w:r>
      <w:proofErr w:type="spellEnd"/>
      <w:r w:rsidRPr="000A58DA">
        <w:rPr>
          <w:rFonts w:cs="Times New Roman"/>
          <w:szCs w:val="24"/>
        </w:rPr>
        <w:t xml:space="preserve"> (52 percent), </w:t>
      </w:r>
      <w:proofErr w:type="spellStart"/>
      <w:r w:rsidRPr="000A58DA">
        <w:rPr>
          <w:rFonts w:cs="Times New Roman"/>
          <w:szCs w:val="24"/>
        </w:rPr>
        <w:t>Stefanini</w:t>
      </w:r>
      <w:proofErr w:type="spellEnd"/>
      <w:r w:rsidRPr="000A58DA">
        <w:rPr>
          <w:rFonts w:cs="Times New Roman"/>
          <w:szCs w:val="24"/>
        </w:rPr>
        <w:t xml:space="preserve"> IT Solutions (46 percent), </w:t>
      </w:r>
      <w:proofErr w:type="spellStart"/>
      <w:r w:rsidRPr="000A58DA">
        <w:rPr>
          <w:rFonts w:cs="Times New Roman"/>
          <w:szCs w:val="24"/>
        </w:rPr>
        <w:t>Metalfrio</w:t>
      </w:r>
      <w:proofErr w:type="spellEnd"/>
      <w:r w:rsidRPr="000A58DA">
        <w:rPr>
          <w:rFonts w:cs="Times New Roman"/>
          <w:szCs w:val="24"/>
        </w:rPr>
        <w:t xml:space="preserve"> (45 percent), </w:t>
      </w:r>
      <w:proofErr w:type="spellStart"/>
      <w:r w:rsidRPr="000A58DA">
        <w:rPr>
          <w:rFonts w:cs="Times New Roman"/>
          <w:szCs w:val="24"/>
        </w:rPr>
        <w:t>Marfrig</w:t>
      </w:r>
      <w:proofErr w:type="spellEnd"/>
      <w:r w:rsidRPr="000A58DA">
        <w:rPr>
          <w:rFonts w:cs="Times New Roman"/>
          <w:szCs w:val="24"/>
        </w:rPr>
        <w:t xml:space="preserve"> (45 percent), and </w:t>
      </w:r>
      <w:proofErr w:type="spellStart"/>
      <w:r w:rsidRPr="000A58DA">
        <w:rPr>
          <w:rFonts w:cs="Times New Roman"/>
          <w:szCs w:val="24"/>
        </w:rPr>
        <w:t>Odebrecht</w:t>
      </w:r>
      <w:proofErr w:type="spellEnd"/>
      <w:r w:rsidRPr="000A58DA">
        <w:rPr>
          <w:rFonts w:cs="Times New Roman"/>
          <w:szCs w:val="24"/>
        </w:rPr>
        <w:t xml:space="preserve"> (42 percent)--overlaps quite closely with the list of the largest borrowers </w:t>
      </w:r>
      <w:r w:rsidRPr="000A58DA">
        <w:rPr>
          <w:rFonts w:cs="Times New Roman"/>
          <w:szCs w:val="24"/>
        </w:rPr>
        <w:lastRenderedPageBreak/>
        <w:t>from the BNDES (</w:t>
      </w:r>
      <w:proofErr w:type="spellStart"/>
      <w:r w:rsidRPr="000A58DA">
        <w:rPr>
          <w:rFonts w:cs="Times New Roman"/>
          <w:szCs w:val="24"/>
        </w:rPr>
        <w:t>Cretoiu</w:t>
      </w:r>
      <w:proofErr w:type="spellEnd"/>
      <w:r w:rsidRPr="000A58DA">
        <w:rPr>
          <w:rFonts w:cs="Times New Roman"/>
          <w:szCs w:val="24"/>
        </w:rPr>
        <w:t xml:space="preserve"> et al. 2012:17). The question is not whether these firms ought to be expanding abroad, but whether their corporate strategies ought to </w:t>
      </w:r>
      <w:r>
        <w:rPr>
          <w:rFonts w:cs="Times New Roman"/>
          <w:szCs w:val="24"/>
        </w:rPr>
        <w:t xml:space="preserve">receive </w:t>
      </w:r>
      <w:r w:rsidRPr="000A58DA">
        <w:rPr>
          <w:rFonts w:cs="Times New Roman"/>
          <w:szCs w:val="24"/>
        </w:rPr>
        <w:t xml:space="preserve">public subsidies. </w:t>
      </w:r>
    </w:p>
    <w:p w:rsidR="00081943" w:rsidRDefault="00081943" w:rsidP="00081943">
      <w:pPr>
        <w:spacing w:line="480" w:lineRule="auto"/>
        <w:rPr>
          <w:rFonts w:cs="Times New Roman"/>
          <w:szCs w:val="24"/>
        </w:rPr>
      </w:pPr>
      <w:r w:rsidRPr="000A58DA">
        <w:rPr>
          <w:rFonts w:cs="Times New Roman"/>
          <w:szCs w:val="24"/>
        </w:rPr>
        <w:tab/>
        <w:t xml:space="preserve">In 2011 one </w:t>
      </w:r>
      <w:r>
        <w:rPr>
          <w:rFonts w:cs="Times New Roman"/>
          <w:szCs w:val="24"/>
        </w:rPr>
        <w:t xml:space="preserve">incident </w:t>
      </w:r>
      <w:r w:rsidRPr="000A58DA">
        <w:rPr>
          <w:rFonts w:cs="Times New Roman"/>
          <w:szCs w:val="24"/>
        </w:rPr>
        <w:t xml:space="preserve">sparked </w:t>
      </w:r>
      <w:r>
        <w:rPr>
          <w:rFonts w:cs="Times New Roman"/>
          <w:szCs w:val="24"/>
        </w:rPr>
        <w:t xml:space="preserve">particular </w:t>
      </w:r>
      <w:r w:rsidRPr="000A58DA">
        <w:rPr>
          <w:rFonts w:cs="Times New Roman"/>
          <w:szCs w:val="24"/>
        </w:rPr>
        <w:t xml:space="preserve">public ire. Brazil’s large supermarket chain, </w:t>
      </w:r>
      <w:proofErr w:type="spellStart"/>
      <w:r w:rsidRPr="000A58DA">
        <w:rPr>
          <w:rFonts w:cs="Times New Roman"/>
          <w:szCs w:val="24"/>
        </w:rPr>
        <w:t>Pão</w:t>
      </w:r>
      <w:proofErr w:type="spellEnd"/>
      <w:r w:rsidRPr="000A58DA">
        <w:rPr>
          <w:rFonts w:cs="Times New Roman"/>
          <w:szCs w:val="24"/>
        </w:rPr>
        <w:t xml:space="preserve"> de </w:t>
      </w:r>
      <w:proofErr w:type="spellStart"/>
      <w:r w:rsidRPr="000A58DA">
        <w:rPr>
          <w:rFonts w:cs="Times New Roman"/>
          <w:szCs w:val="24"/>
        </w:rPr>
        <w:t>Açucar</w:t>
      </w:r>
      <w:proofErr w:type="spellEnd"/>
      <w:r w:rsidRPr="000A58DA">
        <w:rPr>
          <w:rFonts w:cs="Times New Roman"/>
          <w:szCs w:val="24"/>
        </w:rPr>
        <w:t>, proposed to merge with a major competitor, the Brazilian subsidiary of the French supermarket chain, Carrefour—</w:t>
      </w:r>
      <w:r>
        <w:rPr>
          <w:rFonts w:cs="Times New Roman"/>
          <w:szCs w:val="24"/>
        </w:rPr>
        <w:t>in a €</w:t>
      </w:r>
      <w:r w:rsidRPr="000A58DA">
        <w:rPr>
          <w:rFonts w:cs="Times New Roman"/>
          <w:szCs w:val="24"/>
        </w:rPr>
        <w:t xml:space="preserve">2 billion plus deal </w:t>
      </w:r>
      <w:r>
        <w:rPr>
          <w:rFonts w:cs="Times New Roman"/>
          <w:szCs w:val="24"/>
        </w:rPr>
        <w:t>arranged by the BNDES. The B</w:t>
      </w:r>
      <w:r w:rsidRPr="000A58DA">
        <w:rPr>
          <w:rFonts w:cs="Times New Roman"/>
          <w:szCs w:val="24"/>
        </w:rPr>
        <w:t xml:space="preserve">ank’s press statement </w:t>
      </w:r>
      <w:r>
        <w:rPr>
          <w:rFonts w:cs="Times New Roman"/>
          <w:szCs w:val="24"/>
        </w:rPr>
        <w:t xml:space="preserve">highlighted the prospect of </w:t>
      </w:r>
      <w:r w:rsidRPr="000A58DA">
        <w:rPr>
          <w:rFonts w:cs="Times New Roman"/>
          <w:szCs w:val="24"/>
        </w:rPr>
        <w:t xml:space="preserve">promoting sales of Brazilian products through the French parent firm’s worldwide retail network (Rosas 2011). Five term federal deputy </w:t>
      </w:r>
      <w:proofErr w:type="spellStart"/>
      <w:r w:rsidRPr="000A58DA">
        <w:rPr>
          <w:rFonts w:cs="Times New Roman"/>
          <w:szCs w:val="24"/>
        </w:rPr>
        <w:t>Darcísio</w:t>
      </w:r>
      <w:proofErr w:type="spellEnd"/>
      <w:r w:rsidRPr="000A58DA">
        <w:rPr>
          <w:rFonts w:cs="Times New Roman"/>
          <w:szCs w:val="24"/>
        </w:rPr>
        <w:t xml:space="preserve"> </w:t>
      </w:r>
      <w:proofErr w:type="spellStart"/>
      <w:r w:rsidRPr="000A58DA">
        <w:rPr>
          <w:rFonts w:cs="Times New Roman"/>
          <w:szCs w:val="24"/>
        </w:rPr>
        <w:t>Perondi</w:t>
      </w:r>
      <w:proofErr w:type="spellEnd"/>
      <w:r w:rsidRPr="000A58DA">
        <w:rPr>
          <w:rFonts w:cs="Times New Roman"/>
          <w:szCs w:val="24"/>
        </w:rPr>
        <w:t xml:space="preserve"> (PMDB-RS), despite being nominally a member of the government’s coalition, was among those who quickly attacked the project in Congress, calling it crazy to spend monies derived from payroll and social security taxes on a supermarket, particularly given unmet health and education needs, and noting that the merged company could use its oligopoly share of 32 percent of the Brazilian retail market to squeeze both small farmer suppliers and customers (</w:t>
      </w:r>
      <w:proofErr w:type="spellStart"/>
      <w:r w:rsidRPr="000A58DA">
        <w:rPr>
          <w:rFonts w:cs="Times New Roman"/>
          <w:szCs w:val="24"/>
        </w:rPr>
        <w:t>Perondi</w:t>
      </w:r>
      <w:proofErr w:type="spellEnd"/>
      <w:r w:rsidRPr="000A58DA">
        <w:rPr>
          <w:rFonts w:cs="Times New Roman"/>
          <w:szCs w:val="24"/>
        </w:rPr>
        <w:t xml:space="preserve"> 2011). Public opposition was sufficiently intense that the BNDES backed off, offering the bland excuse that not all of the anticipated private co-funding had materialized (Leahy 2011). </w:t>
      </w:r>
    </w:p>
    <w:p w:rsidR="00081943" w:rsidRDefault="00081943" w:rsidP="00081943">
      <w:pPr>
        <w:spacing w:line="480" w:lineRule="auto"/>
        <w:rPr>
          <w:rFonts w:cs="Times New Roman"/>
          <w:szCs w:val="24"/>
        </w:rPr>
      </w:pPr>
      <w:r>
        <w:rPr>
          <w:rFonts w:cs="Times New Roman"/>
          <w:szCs w:val="24"/>
        </w:rPr>
        <w:tab/>
        <w:t xml:space="preserve">However, and despite understandable differences of opinion over BNDES support for the internationalization of firms, there is not a problem from the viewpoint of the public bank regulatory trilemma—because the Bank’s policies have been those of the </w:t>
      </w:r>
      <w:r w:rsidRPr="000A58DA">
        <w:rPr>
          <w:rFonts w:cs="Times New Roman"/>
          <w:szCs w:val="24"/>
        </w:rPr>
        <w:t>legitimately-elected exec</w:t>
      </w:r>
      <w:r>
        <w:rPr>
          <w:rFonts w:cs="Times New Roman"/>
          <w:szCs w:val="24"/>
        </w:rPr>
        <w:t xml:space="preserve">utive branch political authorities. BNDES policies support </w:t>
      </w:r>
      <w:r w:rsidRPr="000A58DA">
        <w:rPr>
          <w:rFonts w:cs="Times New Roman"/>
          <w:szCs w:val="24"/>
        </w:rPr>
        <w:t xml:space="preserve">Brazil’s </w:t>
      </w:r>
      <w:r>
        <w:rPr>
          <w:rFonts w:cs="Times New Roman"/>
          <w:szCs w:val="24"/>
        </w:rPr>
        <w:t xml:space="preserve">ND </w:t>
      </w:r>
      <w:r w:rsidRPr="000A58DA">
        <w:rPr>
          <w:rFonts w:cs="Times New Roman"/>
          <w:szCs w:val="24"/>
        </w:rPr>
        <w:t xml:space="preserve">economic strategy of increasing manufactured exports and also </w:t>
      </w:r>
      <w:r>
        <w:rPr>
          <w:rFonts w:cs="Times New Roman"/>
          <w:szCs w:val="24"/>
        </w:rPr>
        <w:t xml:space="preserve">the country’s </w:t>
      </w:r>
      <w:r w:rsidRPr="000A58DA">
        <w:rPr>
          <w:rFonts w:cs="Times New Roman"/>
          <w:i/>
          <w:szCs w:val="24"/>
        </w:rPr>
        <w:t xml:space="preserve">de facto </w:t>
      </w:r>
      <w:r w:rsidRPr="000A58DA">
        <w:rPr>
          <w:rFonts w:cs="Times New Roman"/>
          <w:szCs w:val="24"/>
        </w:rPr>
        <w:t xml:space="preserve">foreign policy strategy of </w:t>
      </w:r>
      <w:r>
        <w:rPr>
          <w:rFonts w:cs="Times New Roman"/>
          <w:szCs w:val="24"/>
        </w:rPr>
        <w:t>being perceived of as</w:t>
      </w:r>
      <w:r w:rsidRPr="000A58DA">
        <w:rPr>
          <w:rFonts w:cs="Times New Roman"/>
          <w:szCs w:val="24"/>
        </w:rPr>
        <w:t xml:space="preserve"> a regional leader, thus enhancing its global political status. </w:t>
      </w:r>
      <w:r>
        <w:rPr>
          <w:rFonts w:cs="Times New Roman"/>
          <w:szCs w:val="24"/>
        </w:rPr>
        <w:t xml:space="preserve">This emphasis has been consistent since the 1990s. </w:t>
      </w:r>
      <w:r w:rsidRPr="000A58DA">
        <w:rPr>
          <w:rFonts w:cs="Times New Roman"/>
          <w:szCs w:val="24"/>
        </w:rPr>
        <w:t xml:space="preserve">In the words of Brasília business consultant </w:t>
      </w:r>
      <w:proofErr w:type="spellStart"/>
      <w:r w:rsidRPr="000A58DA">
        <w:rPr>
          <w:rFonts w:cs="Times New Roman"/>
          <w:szCs w:val="24"/>
        </w:rPr>
        <w:t>Thiago</w:t>
      </w:r>
      <w:proofErr w:type="spellEnd"/>
      <w:r w:rsidRPr="000A58DA">
        <w:rPr>
          <w:rFonts w:cs="Times New Roman"/>
          <w:szCs w:val="24"/>
        </w:rPr>
        <w:t xml:space="preserve"> de </w:t>
      </w:r>
      <w:proofErr w:type="spellStart"/>
      <w:r w:rsidRPr="000A58DA">
        <w:rPr>
          <w:rFonts w:cs="Times New Roman"/>
          <w:szCs w:val="24"/>
        </w:rPr>
        <w:t>Aragão</w:t>
      </w:r>
      <w:proofErr w:type="spellEnd"/>
      <w:r w:rsidRPr="000A58DA">
        <w:rPr>
          <w:rFonts w:cs="Times New Roman"/>
          <w:szCs w:val="24"/>
        </w:rPr>
        <w:t>, “Brazil’s number one interest is to make itself influential within the region, and to have its neighbors recognize it as an instrument of regional development” (</w:t>
      </w:r>
      <w:proofErr w:type="spellStart"/>
      <w:r w:rsidRPr="000A58DA">
        <w:rPr>
          <w:rFonts w:cs="Times New Roman"/>
          <w:szCs w:val="24"/>
        </w:rPr>
        <w:t>Li</w:t>
      </w:r>
      <w:r>
        <w:rPr>
          <w:rFonts w:cs="Times New Roman"/>
          <w:szCs w:val="24"/>
        </w:rPr>
        <w:t>ssardy</w:t>
      </w:r>
      <w:proofErr w:type="spellEnd"/>
      <w:r>
        <w:rPr>
          <w:rFonts w:cs="Times New Roman"/>
          <w:szCs w:val="24"/>
        </w:rPr>
        <w:t xml:space="preserve"> 2011, my </w:t>
      </w:r>
      <w:r>
        <w:rPr>
          <w:rFonts w:cs="Times New Roman"/>
          <w:szCs w:val="24"/>
        </w:rPr>
        <w:lastRenderedPageBreak/>
        <w:t>translation). W</w:t>
      </w:r>
      <w:r w:rsidRPr="000A58DA">
        <w:rPr>
          <w:rFonts w:cs="Times New Roman"/>
          <w:szCs w:val="24"/>
        </w:rPr>
        <w:t>ere the center-right PSDB-led coalition to recapture the central government, incremental downshifts in the BNDES’ currentl</w:t>
      </w:r>
      <w:r>
        <w:rPr>
          <w:rFonts w:cs="Times New Roman"/>
          <w:szCs w:val="24"/>
        </w:rPr>
        <w:t>y assertive international role c</w:t>
      </w:r>
      <w:r w:rsidRPr="000A58DA">
        <w:rPr>
          <w:rFonts w:cs="Times New Roman"/>
          <w:szCs w:val="24"/>
        </w:rPr>
        <w:t>ould be likely</w:t>
      </w:r>
      <w:r>
        <w:rPr>
          <w:rFonts w:cs="Times New Roman"/>
          <w:szCs w:val="24"/>
        </w:rPr>
        <w:t>—but a dramatic change of direction is improbable</w:t>
      </w:r>
      <w:r w:rsidRPr="000A58DA">
        <w:rPr>
          <w:rFonts w:cs="Times New Roman"/>
          <w:szCs w:val="24"/>
        </w:rPr>
        <w:t>.</w:t>
      </w:r>
      <w:r>
        <w:rPr>
          <w:rFonts w:cs="Times New Roman"/>
          <w:szCs w:val="24"/>
        </w:rPr>
        <w:t xml:space="preserve"> Overall, BNDES activity in support of the internationalization of firms, although controversial, has been consistent with the need to balance the demands of Expertise and Democracy.</w:t>
      </w:r>
    </w:p>
    <w:p w:rsidR="00081943" w:rsidRPr="000A58DA" w:rsidRDefault="00081943" w:rsidP="00081943">
      <w:pPr>
        <w:spacing w:line="480" w:lineRule="auto"/>
        <w:rPr>
          <w:rFonts w:cs="Times New Roman"/>
          <w:szCs w:val="24"/>
        </w:rPr>
      </w:pPr>
      <w:r w:rsidRPr="000A58DA">
        <w:rPr>
          <w:rFonts w:cs="Times New Roman"/>
          <w:b/>
          <w:szCs w:val="24"/>
        </w:rPr>
        <w:t>V. Expertise and the claims of Markets: BNDES and the private financial system</w:t>
      </w:r>
    </w:p>
    <w:p w:rsidR="00081943" w:rsidRPr="000A58DA" w:rsidRDefault="00081943" w:rsidP="00081943">
      <w:pPr>
        <w:spacing w:line="480" w:lineRule="auto"/>
        <w:rPr>
          <w:rFonts w:cs="Times New Roman"/>
          <w:szCs w:val="24"/>
        </w:rPr>
      </w:pPr>
      <w:r w:rsidRPr="000A58DA">
        <w:rPr>
          <w:rFonts w:cs="Times New Roman"/>
          <w:szCs w:val="24"/>
        </w:rPr>
        <w:tab/>
        <w:t>The balance within the Expertise versus Markets vector of the public bank regulatory trilem</w:t>
      </w:r>
      <w:r>
        <w:rPr>
          <w:rFonts w:cs="Times New Roman"/>
          <w:szCs w:val="24"/>
        </w:rPr>
        <w:t>ma also has become contentious</w:t>
      </w:r>
      <w:r w:rsidRPr="000A58DA">
        <w:rPr>
          <w:rFonts w:cs="Times New Roman"/>
          <w:szCs w:val="24"/>
        </w:rPr>
        <w:t xml:space="preserve">, revealing </w:t>
      </w:r>
      <w:r>
        <w:rPr>
          <w:rFonts w:cs="Times New Roman"/>
          <w:szCs w:val="24"/>
        </w:rPr>
        <w:t xml:space="preserve">clear </w:t>
      </w:r>
      <w:r w:rsidRPr="000A58DA">
        <w:rPr>
          <w:rFonts w:cs="Times New Roman"/>
          <w:szCs w:val="24"/>
        </w:rPr>
        <w:t>differences between the center-right and center-left within the larger ND model. For decades, from at least the 1930s through the mid-1990s, Brazil was in the peculiar position of having an economy that suffered from chronic high to very hi</w:t>
      </w:r>
      <w:r>
        <w:rPr>
          <w:rFonts w:cs="Times New Roman"/>
          <w:szCs w:val="24"/>
        </w:rPr>
        <w:t>gh inflation, yet always managed to avoid</w:t>
      </w:r>
      <w:r w:rsidRPr="000A58DA">
        <w:rPr>
          <w:rFonts w:cs="Times New Roman"/>
          <w:szCs w:val="24"/>
        </w:rPr>
        <w:t xml:space="preserve"> </w:t>
      </w:r>
      <w:r>
        <w:rPr>
          <w:rFonts w:cs="Times New Roman"/>
          <w:szCs w:val="24"/>
        </w:rPr>
        <w:t xml:space="preserve">the disastrous breakdown associated with true </w:t>
      </w:r>
      <w:r w:rsidRPr="000A58DA">
        <w:rPr>
          <w:rFonts w:cs="Times New Roman"/>
          <w:szCs w:val="24"/>
        </w:rPr>
        <w:t>hyperinflation</w:t>
      </w:r>
      <w:r>
        <w:rPr>
          <w:rFonts w:cs="Times New Roman"/>
          <w:szCs w:val="24"/>
        </w:rPr>
        <w:t xml:space="preserve"> (Armijo 1997)</w:t>
      </w:r>
      <w:r w:rsidRPr="000A58DA">
        <w:rPr>
          <w:rFonts w:cs="Times New Roman"/>
          <w:szCs w:val="24"/>
        </w:rPr>
        <w:t xml:space="preserve">. One of the consequences of high inflation was the disappearance, or failure to develop, of long-term credit in the economy, as bankers would not loan long-term in </w:t>
      </w:r>
      <w:r>
        <w:rPr>
          <w:rFonts w:cs="Times New Roman"/>
          <w:szCs w:val="24"/>
        </w:rPr>
        <w:t xml:space="preserve">a </w:t>
      </w:r>
      <w:r w:rsidRPr="000A58DA">
        <w:rPr>
          <w:rFonts w:cs="Times New Roman"/>
          <w:szCs w:val="24"/>
        </w:rPr>
        <w:t>currency that</w:t>
      </w:r>
      <w:r>
        <w:rPr>
          <w:rFonts w:cs="Times New Roman"/>
          <w:szCs w:val="24"/>
        </w:rPr>
        <w:t xml:space="preserve"> they expected to be devalued when repaid. </w:t>
      </w:r>
      <w:r w:rsidRPr="000A58DA">
        <w:rPr>
          <w:rFonts w:cs="Times New Roman"/>
          <w:szCs w:val="24"/>
        </w:rPr>
        <w:t xml:space="preserve">When the military took power in the mid-1960s, the administration of President </w:t>
      </w:r>
      <w:proofErr w:type="spellStart"/>
      <w:r w:rsidRPr="000A58DA">
        <w:rPr>
          <w:rFonts w:cs="Times New Roman"/>
          <w:szCs w:val="24"/>
        </w:rPr>
        <w:t>Castello</w:t>
      </w:r>
      <w:proofErr w:type="spellEnd"/>
      <w:r w:rsidRPr="000A58DA">
        <w:rPr>
          <w:rFonts w:cs="Times New Roman"/>
          <w:szCs w:val="24"/>
        </w:rPr>
        <w:t xml:space="preserve"> </w:t>
      </w:r>
      <w:proofErr w:type="spellStart"/>
      <w:r w:rsidRPr="000A58DA">
        <w:rPr>
          <w:rFonts w:cs="Times New Roman"/>
          <w:szCs w:val="24"/>
        </w:rPr>
        <w:t>Branco</w:t>
      </w:r>
      <w:proofErr w:type="spellEnd"/>
      <w:r w:rsidRPr="000A58DA">
        <w:rPr>
          <w:rFonts w:cs="Times New Roman"/>
          <w:szCs w:val="24"/>
        </w:rPr>
        <w:t xml:space="preserve"> </w:t>
      </w:r>
      <w:r>
        <w:rPr>
          <w:rFonts w:cs="Times New Roman"/>
          <w:szCs w:val="24"/>
        </w:rPr>
        <w:t xml:space="preserve">attempted to </w:t>
      </w:r>
      <w:r w:rsidRPr="000A58DA">
        <w:rPr>
          <w:rFonts w:cs="Times New Roman"/>
          <w:szCs w:val="24"/>
        </w:rPr>
        <w:t>end inflation and stimulate voluntary private long-term finance (</w:t>
      </w:r>
      <w:proofErr w:type="spellStart"/>
      <w:r w:rsidRPr="000A58DA">
        <w:rPr>
          <w:rFonts w:cs="Times New Roman"/>
          <w:szCs w:val="24"/>
        </w:rPr>
        <w:t>Syvrud</w:t>
      </w:r>
      <w:proofErr w:type="spellEnd"/>
      <w:r w:rsidRPr="000A58DA">
        <w:rPr>
          <w:rFonts w:cs="Times New Roman"/>
          <w:szCs w:val="24"/>
        </w:rPr>
        <w:t xml:space="preserve"> 1975; </w:t>
      </w:r>
      <w:proofErr w:type="spellStart"/>
      <w:r w:rsidRPr="000A58DA">
        <w:rPr>
          <w:rFonts w:cs="Times New Roman"/>
          <w:szCs w:val="24"/>
        </w:rPr>
        <w:t>Trubeck</w:t>
      </w:r>
      <w:proofErr w:type="spellEnd"/>
      <w:r w:rsidR="00F32A5F">
        <w:rPr>
          <w:rFonts w:cs="Times New Roman"/>
          <w:szCs w:val="24"/>
        </w:rPr>
        <w:t xml:space="preserve"> 1971; Armijo 1993). As</w:t>
      </w:r>
      <w:r w:rsidRPr="000A58DA">
        <w:rPr>
          <w:rFonts w:cs="Times New Roman"/>
          <w:szCs w:val="24"/>
        </w:rPr>
        <w:t xml:space="preserve"> stabilization failed, subsequent military policymakers</w:t>
      </w:r>
      <w:r>
        <w:rPr>
          <w:rFonts w:cs="Times New Roman"/>
          <w:szCs w:val="24"/>
        </w:rPr>
        <w:t xml:space="preserve"> pushed </w:t>
      </w:r>
      <w:r w:rsidRPr="000A58DA">
        <w:rPr>
          <w:rFonts w:cs="Times New Roman"/>
          <w:szCs w:val="24"/>
        </w:rPr>
        <w:t xml:space="preserve">the BNDES to move into this role. This sets up today’s policy conundrum. </w:t>
      </w:r>
      <w:r>
        <w:rPr>
          <w:rFonts w:cs="Times New Roman"/>
          <w:szCs w:val="24"/>
        </w:rPr>
        <w:t>S</w:t>
      </w:r>
      <w:r w:rsidRPr="000A58DA">
        <w:rPr>
          <w:rFonts w:cs="Times New Roman"/>
          <w:szCs w:val="24"/>
        </w:rPr>
        <w:t xml:space="preserve">ince the </w:t>
      </w:r>
      <w:r w:rsidRPr="000A58DA">
        <w:rPr>
          <w:rFonts w:cs="Times New Roman"/>
          <w:i/>
          <w:szCs w:val="24"/>
        </w:rPr>
        <w:t>Plano Real</w:t>
      </w:r>
      <w:r w:rsidRPr="000A58DA">
        <w:rPr>
          <w:rFonts w:cs="Times New Roman"/>
          <w:szCs w:val="24"/>
        </w:rPr>
        <w:t>, the</w:t>
      </w:r>
      <w:r w:rsidRPr="000A58DA">
        <w:rPr>
          <w:rFonts w:cs="Times New Roman"/>
          <w:i/>
          <w:szCs w:val="24"/>
        </w:rPr>
        <w:t xml:space="preserve"> </w:t>
      </w:r>
      <w:r w:rsidRPr="000A58DA">
        <w:rPr>
          <w:rFonts w:cs="Times New Roman"/>
          <w:szCs w:val="24"/>
        </w:rPr>
        <w:t xml:space="preserve">successful stabilization program of the mid-1990s, Brazil’s annual inflation has </w:t>
      </w:r>
      <w:r>
        <w:rPr>
          <w:rFonts w:cs="Times New Roman"/>
          <w:szCs w:val="24"/>
        </w:rPr>
        <w:t xml:space="preserve">averaged </w:t>
      </w:r>
      <w:r w:rsidRPr="000A58DA">
        <w:rPr>
          <w:rFonts w:cs="Times New Roman"/>
          <w:szCs w:val="24"/>
        </w:rPr>
        <w:t xml:space="preserve">in the </w:t>
      </w:r>
      <w:r>
        <w:rPr>
          <w:rFonts w:cs="Times New Roman"/>
          <w:szCs w:val="24"/>
        </w:rPr>
        <w:t xml:space="preserve">high </w:t>
      </w:r>
      <w:r w:rsidRPr="000A58DA">
        <w:rPr>
          <w:rFonts w:cs="Times New Roman"/>
          <w:szCs w:val="24"/>
        </w:rPr>
        <w:t>single digits—</w:t>
      </w:r>
      <w:r>
        <w:rPr>
          <w:rFonts w:cs="Times New Roman"/>
          <w:szCs w:val="24"/>
        </w:rPr>
        <w:t>in other words, t</w:t>
      </w:r>
      <w:r w:rsidRPr="000A58DA">
        <w:rPr>
          <w:rFonts w:cs="Times New Roman"/>
          <w:szCs w:val="24"/>
        </w:rPr>
        <w:t xml:space="preserve">he era of chronic crazy inflation is over. </w:t>
      </w:r>
      <w:r>
        <w:rPr>
          <w:rFonts w:cs="Times New Roman"/>
          <w:szCs w:val="24"/>
        </w:rPr>
        <w:t>C</w:t>
      </w:r>
      <w:r w:rsidRPr="000A58DA">
        <w:rPr>
          <w:rFonts w:cs="Times New Roman"/>
          <w:szCs w:val="24"/>
        </w:rPr>
        <w:t xml:space="preserve">ontinuing </w:t>
      </w:r>
      <w:r>
        <w:rPr>
          <w:rFonts w:cs="Times New Roman"/>
          <w:szCs w:val="24"/>
        </w:rPr>
        <w:t xml:space="preserve">the wholesale </w:t>
      </w:r>
      <w:r w:rsidRPr="000A58DA">
        <w:rPr>
          <w:rFonts w:cs="Times New Roman"/>
          <w:szCs w:val="24"/>
        </w:rPr>
        <w:t xml:space="preserve">substitution of Expertise for </w:t>
      </w:r>
      <w:r>
        <w:rPr>
          <w:rFonts w:cs="Times New Roman"/>
          <w:szCs w:val="24"/>
        </w:rPr>
        <w:t xml:space="preserve">Market provision of long-term financing </w:t>
      </w:r>
      <w:r w:rsidRPr="000A58DA">
        <w:rPr>
          <w:rFonts w:cs="Times New Roman"/>
          <w:szCs w:val="24"/>
        </w:rPr>
        <w:t>unbalances the public</w:t>
      </w:r>
      <w:r w:rsidR="00B8590B">
        <w:rPr>
          <w:rFonts w:cs="Times New Roman"/>
          <w:szCs w:val="24"/>
        </w:rPr>
        <w:t xml:space="preserve"> bank triad of goals. However</w:t>
      </w:r>
      <w:r w:rsidRPr="000A58DA">
        <w:rPr>
          <w:rFonts w:cs="Times New Roman"/>
          <w:szCs w:val="24"/>
        </w:rPr>
        <w:t xml:space="preserve">, like </w:t>
      </w:r>
      <w:r w:rsidR="00B8590B">
        <w:rPr>
          <w:rFonts w:cs="Times New Roman"/>
          <w:szCs w:val="24"/>
        </w:rPr>
        <w:t xml:space="preserve">other </w:t>
      </w:r>
      <w:r w:rsidRPr="000A58DA">
        <w:rPr>
          <w:rFonts w:cs="Times New Roman"/>
          <w:szCs w:val="24"/>
        </w:rPr>
        <w:t>organization</w:t>
      </w:r>
      <w:r w:rsidR="00B8590B">
        <w:rPr>
          <w:rFonts w:cs="Times New Roman"/>
          <w:szCs w:val="24"/>
        </w:rPr>
        <w:t>s</w:t>
      </w:r>
      <w:r w:rsidRPr="000A58DA">
        <w:rPr>
          <w:rFonts w:cs="Times New Roman"/>
          <w:szCs w:val="24"/>
        </w:rPr>
        <w:t>, particularly one</w:t>
      </w:r>
      <w:r w:rsidR="00B8590B">
        <w:rPr>
          <w:rFonts w:cs="Times New Roman"/>
          <w:szCs w:val="24"/>
        </w:rPr>
        <w:t>s</w:t>
      </w:r>
      <w:r w:rsidRPr="000A58DA">
        <w:rPr>
          <w:rFonts w:cs="Times New Roman"/>
          <w:szCs w:val="24"/>
        </w:rPr>
        <w:t xml:space="preserve"> whose personnel perceive their institution</w:t>
      </w:r>
      <w:r w:rsidR="00B8590B">
        <w:rPr>
          <w:rFonts w:cs="Times New Roman"/>
          <w:szCs w:val="24"/>
        </w:rPr>
        <w:t>s to be at the top of their</w:t>
      </w:r>
      <w:r w:rsidRPr="000A58DA">
        <w:rPr>
          <w:rFonts w:cs="Times New Roman"/>
          <w:szCs w:val="24"/>
        </w:rPr>
        <w:t xml:space="preserve"> game</w:t>
      </w:r>
      <w:r w:rsidR="00B8590B">
        <w:rPr>
          <w:rFonts w:cs="Times New Roman"/>
          <w:szCs w:val="24"/>
        </w:rPr>
        <w:t>s</w:t>
      </w:r>
      <w:r w:rsidRPr="000A58DA">
        <w:rPr>
          <w:rFonts w:cs="Times New Roman"/>
          <w:szCs w:val="24"/>
        </w:rPr>
        <w:t xml:space="preserve">, the BNDES resists shrinking. </w:t>
      </w:r>
    </w:p>
    <w:p w:rsidR="00081943" w:rsidRPr="000A58DA" w:rsidRDefault="00081943" w:rsidP="00081943">
      <w:pPr>
        <w:spacing w:line="480" w:lineRule="auto"/>
        <w:rPr>
          <w:rFonts w:cs="Times New Roman"/>
          <w:szCs w:val="24"/>
        </w:rPr>
      </w:pPr>
      <w:r w:rsidRPr="000A58DA">
        <w:rPr>
          <w:rFonts w:cs="Times New Roman"/>
          <w:szCs w:val="24"/>
        </w:rPr>
        <w:lastRenderedPageBreak/>
        <w:tab/>
      </w:r>
      <w:r>
        <w:rPr>
          <w:rFonts w:cs="Times New Roman"/>
          <w:szCs w:val="24"/>
        </w:rPr>
        <w:t>F</w:t>
      </w:r>
      <w:r w:rsidRPr="000A58DA">
        <w:rPr>
          <w:rFonts w:cs="Times New Roman"/>
          <w:szCs w:val="24"/>
        </w:rPr>
        <w:t xml:space="preserve">ormer senior economic policymakers associated with the President </w:t>
      </w:r>
      <w:r>
        <w:rPr>
          <w:rFonts w:cs="Times New Roman"/>
          <w:szCs w:val="24"/>
        </w:rPr>
        <w:t>Cardoso--</w:t>
      </w:r>
      <w:r w:rsidRPr="000A58DA">
        <w:rPr>
          <w:rFonts w:cs="Times New Roman"/>
          <w:szCs w:val="24"/>
        </w:rPr>
        <w:t xml:space="preserve">including former BNDES and </w:t>
      </w:r>
      <w:r>
        <w:rPr>
          <w:rFonts w:cs="Times New Roman"/>
          <w:szCs w:val="24"/>
        </w:rPr>
        <w:t>Brazilian Central Bank (</w:t>
      </w:r>
      <w:r w:rsidRPr="000A58DA">
        <w:rPr>
          <w:rFonts w:cs="Times New Roman"/>
          <w:szCs w:val="24"/>
        </w:rPr>
        <w:t>BCB</w:t>
      </w:r>
      <w:r>
        <w:rPr>
          <w:rFonts w:cs="Times New Roman"/>
          <w:szCs w:val="24"/>
        </w:rPr>
        <w:t>)</w:t>
      </w:r>
      <w:r w:rsidRPr="000A58DA">
        <w:rPr>
          <w:rFonts w:cs="Times New Roman"/>
          <w:szCs w:val="24"/>
        </w:rPr>
        <w:t xml:space="preserve"> President </w:t>
      </w:r>
      <w:proofErr w:type="spellStart"/>
      <w:r w:rsidRPr="000A58DA">
        <w:rPr>
          <w:rFonts w:cs="Times New Roman"/>
          <w:szCs w:val="24"/>
        </w:rPr>
        <w:t>Pérsio</w:t>
      </w:r>
      <w:proofErr w:type="spellEnd"/>
      <w:r w:rsidRPr="000A58DA">
        <w:rPr>
          <w:rFonts w:cs="Times New Roman"/>
          <w:szCs w:val="24"/>
        </w:rPr>
        <w:t xml:space="preserve"> </w:t>
      </w:r>
      <w:proofErr w:type="spellStart"/>
      <w:r w:rsidRPr="000A58DA">
        <w:rPr>
          <w:rFonts w:cs="Times New Roman"/>
          <w:szCs w:val="24"/>
        </w:rPr>
        <w:t>Arida</w:t>
      </w:r>
      <w:proofErr w:type="spellEnd"/>
      <w:r w:rsidRPr="000A58DA">
        <w:rPr>
          <w:rFonts w:cs="Times New Roman"/>
          <w:szCs w:val="24"/>
        </w:rPr>
        <w:t xml:space="preserve">, now a partner in one of Brazil’s two largest private investment banks, former BNDES President </w:t>
      </w:r>
      <w:proofErr w:type="spellStart"/>
      <w:r w:rsidRPr="000A58DA">
        <w:rPr>
          <w:rFonts w:cs="Times New Roman"/>
          <w:szCs w:val="24"/>
        </w:rPr>
        <w:t>Luiz</w:t>
      </w:r>
      <w:proofErr w:type="spellEnd"/>
      <w:r w:rsidRPr="000A58DA">
        <w:rPr>
          <w:rFonts w:cs="Times New Roman"/>
          <w:szCs w:val="24"/>
        </w:rPr>
        <w:t xml:space="preserve"> Carlos </w:t>
      </w:r>
      <w:proofErr w:type="spellStart"/>
      <w:r w:rsidRPr="000A58DA">
        <w:rPr>
          <w:rFonts w:cs="Times New Roman"/>
          <w:szCs w:val="24"/>
        </w:rPr>
        <w:t>Mendonça</w:t>
      </w:r>
      <w:proofErr w:type="spellEnd"/>
      <w:r w:rsidRPr="000A58DA">
        <w:rPr>
          <w:rFonts w:cs="Times New Roman"/>
          <w:szCs w:val="24"/>
        </w:rPr>
        <w:t xml:space="preserve"> de Barros, and former BCB President Gustavo Loyola</w:t>
      </w:r>
      <w:r>
        <w:rPr>
          <w:rFonts w:cs="Times New Roman"/>
          <w:szCs w:val="24"/>
        </w:rPr>
        <w:t>—have been prominent critics of the BNDES’ role in Brazilian financial markets</w:t>
      </w:r>
      <w:r w:rsidRPr="000A58DA">
        <w:rPr>
          <w:rFonts w:cs="Times New Roman"/>
          <w:szCs w:val="24"/>
        </w:rPr>
        <w:t xml:space="preserve"> (</w:t>
      </w:r>
      <w:proofErr w:type="spellStart"/>
      <w:r w:rsidRPr="000A58DA">
        <w:rPr>
          <w:rFonts w:cs="Times New Roman"/>
          <w:szCs w:val="24"/>
        </w:rPr>
        <w:t>Arida</w:t>
      </w:r>
      <w:proofErr w:type="spellEnd"/>
      <w:r w:rsidRPr="000A58DA">
        <w:rPr>
          <w:rFonts w:cs="Times New Roman"/>
          <w:szCs w:val="24"/>
        </w:rPr>
        <w:t xml:space="preserve"> 2005; </w:t>
      </w:r>
      <w:proofErr w:type="spellStart"/>
      <w:r w:rsidRPr="000A58DA">
        <w:rPr>
          <w:rFonts w:cs="Times New Roman"/>
          <w:szCs w:val="24"/>
        </w:rPr>
        <w:t>Leonel</w:t>
      </w:r>
      <w:proofErr w:type="spellEnd"/>
      <w:r w:rsidRPr="000A58DA">
        <w:rPr>
          <w:rFonts w:cs="Times New Roman"/>
          <w:szCs w:val="24"/>
        </w:rPr>
        <w:t xml:space="preserve"> 2010).  The critics make these main points. First, the majority of BNDES funding derives from Brazilian taxpayers. As recently as 2007, about 10 percent of funds were shareholder’s (the central government’s) equity, and another 75 percent transfers from the federal government, the bulk in the form of obligatory “investments” by the FAT (Workers’ Support</w:t>
      </w:r>
      <w:r>
        <w:rPr>
          <w:rFonts w:cs="Times New Roman"/>
          <w:szCs w:val="24"/>
        </w:rPr>
        <w:t xml:space="preserve"> Fund, whose</w:t>
      </w:r>
      <w:r w:rsidRPr="000A58DA">
        <w:rPr>
          <w:rFonts w:cs="Times New Roman"/>
          <w:szCs w:val="24"/>
        </w:rPr>
        <w:t xml:space="preserve"> resources </w:t>
      </w:r>
      <w:r>
        <w:rPr>
          <w:rFonts w:cs="Times New Roman"/>
          <w:szCs w:val="24"/>
        </w:rPr>
        <w:t xml:space="preserve">come </w:t>
      </w:r>
      <w:r w:rsidRPr="000A58DA">
        <w:rPr>
          <w:rFonts w:cs="Times New Roman"/>
          <w:szCs w:val="24"/>
        </w:rPr>
        <w:t>from payroll taxes) in the BNDES (BNDES 2011:43). The BNDES has a statutory obligation to employ FAT funds for projects to increase Brazilian employment and production. Although these investments (loans to the BNDES) are safe, they are remunerated at a special “long-term interest rate,” the TJLP, which is far below the free market cost of funds in Brazil. There is thus a question of the opportunity cost of directing these monies to the BNDES. M</w:t>
      </w:r>
      <w:r>
        <w:rPr>
          <w:rFonts w:cs="Times New Roman"/>
          <w:szCs w:val="24"/>
        </w:rPr>
        <w:t>oreover, m</w:t>
      </w:r>
      <w:r w:rsidRPr="000A58DA">
        <w:rPr>
          <w:rFonts w:cs="Times New Roman"/>
          <w:szCs w:val="24"/>
        </w:rPr>
        <w:t xml:space="preserve">uch of the increase in BNDES disbursements in recent years (see Figure 1) has been funded by direct transfers from the National Treasury, through special programs known as PAG (Accelerated Growth Program) and PSI  (Sustainable Investment Program), which by 2011 accounted for half of all BNDES funding. Unlike the FAT, whose connection to the BNDES the 1988 Constitution mandates, PAG and PSI funding reflects high priority, multiyear, and massive--yet intrinsically temporary--funds created by </w:t>
      </w:r>
      <w:r>
        <w:rPr>
          <w:rFonts w:cs="Times New Roman"/>
          <w:szCs w:val="24"/>
        </w:rPr>
        <w:t>Executive Branch decisions</w:t>
      </w:r>
      <w:r w:rsidRPr="000A58DA">
        <w:rPr>
          <w:rFonts w:cs="Times New Roman"/>
          <w:szCs w:val="24"/>
        </w:rPr>
        <w:t xml:space="preserve">. </w:t>
      </w:r>
    </w:p>
    <w:p w:rsidR="00081943" w:rsidRPr="000A58DA" w:rsidRDefault="00081943" w:rsidP="00081943">
      <w:pPr>
        <w:spacing w:line="480" w:lineRule="auto"/>
        <w:rPr>
          <w:rFonts w:cs="Times New Roman"/>
          <w:szCs w:val="24"/>
        </w:rPr>
      </w:pPr>
      <w:r w:rsidRPr="000A58DA">
        <w:rPr>
          <w:rFonts w:cs="Times New Roman"/>
          <w:szCs w:val="24"/>
        </w:rPr>
        <w:tab/>
        <w:t>Second, it is the BNDES that is pushing up real interest rates in the free segment of the economy (</w:t>
      </w:r>
      <w:proofErr w:type="spellStart"/>
      <w:r w:rsidRPr="000A58DA">
        <w:rPr>
          <w:rFonts w:cs="Times New Roman"/>
          <w:szCs w:val="24"/>
        </w:rPr>
        <w:t>Arida</w:t>
      </w:r>
      <w:proofErr w:type="spellEnd"/>
      <w:r w:rsidRPr="000A58DA">
        <w:rPr>
          <w:rFonts w:cs="Times New Roman"/>
          <w:szCs w:val="24"/>
        </w:rPr>
        <w:t xml:space="preserve"> 2005; Romero 2011; Mello and Garcia 2011). There is only a set quantum of savings in Brazil: therefore, the larger the share that the BNDES accesses at below-market rates, </w:t>
      </w:r>
      <w:r w:rsidRPr="000A58DA">
        <w:rPr>
          <w:rFonts w:cs="Times New Roman"/>
          <w:szCs w:val="24"/>
        </w:rPr>
        <w:lastRenderedPageBreak/>
        <w:t>the smaller the share available for all other borrowers—and therefore the higher the price at which credit in the free market will be offered. A rough approximation of the extent of the subsidy enjoyed by the BNDES may be seen by the difference between the SELIC, Brazil’s policy interest rate, which is the rate at which the central bank, BCB, makes short-term loans to commercial banks needing liquidity, and the TJLP, the rate at which the BNDES borrows. Normally, a central bank’s policy rate (in the U.S., the federal funds rate) is below the best rate available to the most-credit worthy business borrowers (in the U.S., the prime rate), as banks need to borrow more cheaply than they lend. In Brazil, however, the TJLP is notably less than the SELIC.</w:t>
      </w:r>
      <w:r w:rsidRPr="000A58DA">
        <w:rPr>
          <w:rStyle w:val="EndnoteReference"/>
          <w:rFonts w:cs="Times New Roman"/>
          <w:szCs w:val="24"/>
        </w:rPr>
        <w:endnoteReference w:id="8"/>
      </w:r>
      <w:r w:rsidRPr="000A58DA">
        <w:rPr>
          <w:rFonts w:cs="Times New Roman"/>
          <w:szCs w:val="24"/>
        </w:rPr>
        <w:t xml:space="preserve"> True, the gap between the two has shrunk as the economy has become used to low inflation. In 1995, the year the </w:t>
      </w:r>
      <w:r w:rsidRPr="000A58DA">
        <w:rPr>
          <w:rFonts w:cs="Times New Roman"/>
          <w:i/>
          <w:szCs w:val="24"/>
        </w:rPr>
        <w:t xml:space="preserve">Plano Real </w:t>
      </w:r>
      <w:r w:rsidRPr="000A58DA">
        <w:rPr>
          <w:rFonts w:cs="Times New Roman"/>
          <w:szCs w:val="24"/>
        </w:rPr>
        <w:t>took effect</w:t>
      </w:r>
      <w:r w:rsidRPr="000A58DA">
        <w:rPr>
          <w:rFonts w:cs="Times New Roman"/>
          <w:i/>
          <w:szCs w:val="24"/>
        </w:rPr>
        <w:t>,</w:t>
      </w:r>
      <w:r w:rsidRPr="000A58DA">
        <w:rPr>
          <w:rFonts w:cs="Times New Roman"/>
          <w:szCs w:val="24"/>
        </w:rPr>
        <w:t xml:space="preserve"> the SELIC was 87 percent annually and the TJLP 25 percent, representing an approximate subsidy of a stunning 62 percentage points, while in mid-2011, the SELIC had been brought down to 12 percent, while the TJLP stood at 6 percent, for “only” a 6 percentage point subsidy (Mello and Garcia 2011:10).</w:t>
      </w:r>
      <w:r>
        <w:rPr>
          <w:rStyle w:val="EndnoteReference"/>
          <w:rFonts w:cs="Times New Roman"/>
          <w:szCs w:val="24"/>
        </w:rPr>
        <w:endnoteReference w:id="9"/>
      </w:r>
      <w:r w:rsidRPr="000A58DA">
        <w:rPr>
          <w:rFonts w:cs="Times New Roman"/>
          <w:szCs w:val="24"/>
        </w:rPr>
        <w:t xml:space="preserve"> Meanwhile, the free market interest rate for 30-day working capital for excellent corporate borrowers had fallen from 42 percent in January 2009, at the height of the global financial crisis, to “only” 32 percent in mid-2012 (EIU 2012:41). Naturally, those firms able to do so would prefer to borrow either from the BNDES or abroad. In traditionally very high interest </w:t>
      </w:r>
      <w:r>
        <w:rPr>
          <w:rFonts w:cs="Times New Roman"/>
          <w:szCs w:val="24"/>
        </w:rPr>
        <w:t xml:space="preserve">rate </w:t>
      </w:r>
      <w:r w:rsidRPr="000A58DA">
        <w:rPr>
          <w:rFonts w:cs="Times New Roman"/>
          <w:szCs w:val="24"/>
        </w:rPr>
        <w:t>Brazil, when Brazilian consumers see real (not nominal) interest rates fall to about 70 percent a year, as they did in 2012, they rush to purchase cars, refrigerators, and other big ticket items.</w:t>
      </w:r>
    </w:p>
    <w:p w:rsidR="00081943" w:rsidRPr="000A58DA" w:rsidRDefault="00081943" w:rsidP="00081943">
      <w:pPr>
        <w:autoSpaceDE w:val="0"/>
        <w:autoSpaceDN w:val="0"/>
        <w:adjustRightInd w:val="0"/>
        <w:spacing w:line="480" w:lineRule="auto"/>
        <w:rPr>
          <w:rFonts w:cs="Times New Roman"/>
          <w:szCs w:val="24"/>
        </w:rPr>
      </w:pPr>
      <w:r w:rsidRPr="000A58DA">
        <w:rPr>
          <w:rFonts w:cs="Times New Roman"/>
          <w:szCs w:val="24"/>
        </w:rPr>
        <w:tab/>
        <w:t xml:space="preserve">Third, over the past twenty odd years the BNDES has demonstrated that it can capture resources through bond issues in private capital markets, both within Brazil and internationally. Nonetheless, market-rate funding currently makes up only a small segment of the BNDES’ total funding sources—less than 10 percent in 2011 (BNDES 2011:23). The critics propose that the </w:t>
      </w:r>
      <w:r w:rsidRPr="000A58DA">
        <w:rPr>
          <w:rFonts w:cs="Times New Roman"/>
          <w:szCs w:val="24"/>
        </w:rPr>
        <w:lastRenderedPageBreak/>
        <w:t xml:space="preserve">BNDES be obliged to move gradually to market sources of funds, at least for many of its programs. If the consequence is a shrinking of the total size of the institution’s assets and liabilities, then so be it. That is, Expertise, which almost no one questions that the bank displays, should supplement private financial Markets, not replace them. </w:t>
      </w:r>
    </w:p>
    <w:p w:rsidR="00081943" w:rsidRPr="000A58DA" w:rsidRDefault="00081943" w:rsidP="00081943">
      <w:pPr>
        <w:autoSpaceDE w:val="0"/>
        <w:autoSpaceDN w:val="0"/>
        <w:adjustRightInd w:val="0"/>
        <w:spacing w:line="480" w:lineRule="auto"/>
        <w:rPr>
          <w:rFonts w:cs="Times New Roman"/>
          <w:szCs w:val="24"/>
        </w:rPr>
      </w:pPr>
      <w:r w:rsidRPr="000A58DA">
        <w:rPr>
          <w:rFonts w:cs="Times New Roman"/>
          <w:szCs w:val="24"/>
        </w:rPr>
        <w:tab/>
        <w:t>Fourth and finally, critics of the BNDES</w:t>
      </w:r>
      <w:r>
        <w:rPr>
          <w:rFonts w:cs="Times New Roman"/>
          <w:szCs w:val="24"/>
        </w:rPr>
        <w:t>’</w:t>
      </w:r>
      <w:r w:rsidRPr="000A58DA">
        <w:rPr>
          <w:rFonts w:cs="Times New Roman"/>
          <w:szCs w:val="24"/>
        </w:rPr>
        <w:t xml:space="preserve"> funding strategy worry that the recent expansion of BNDES lending imperils Brazilian public finances. While monies booked as investments by various social insurance funds paid into by workers (FGTS, PIS/PASEP, and FAT, all of which have provided resources to the BNDES over the years) have no direct fiscal implications, transfers from the National Treasury (only 7 percent of BNDES resources in 2007, but fully 49 percent in 2011, as per BNDES 2011:43) represent money borrowed from the public—and at significantly higher rates than the TJLP. Mello and Garcia (2011:10-11) conclude, “If BNDES keeps expanding as it did since the 2008 crisis, it will surely constitute a major threat to the solvency of the Brazilian government.”</w:t>
      </w:r>
    </w:p>
    <w:p w:rsidR="00081943" w:rsidRPr="000A58DA" w:rsidRDefault="00081943" w:rsidP="00081943">
      <w:pPr>
        <w:spacing w:line="480" w:lineRule="auto"/>
        <w:rPr>
          <w:rFonts w:cs="Times New Roman"/>
          <w:szCs w:val="24"/>
        </w:rPr>
      </w:pPr>
      <w:r w:rsidRPr="000A58DA">
        <w:rPr>
          <w:rFonts w:cs="Times New Roman"/>
          <w:szCs w:val="24"/>
        </w:rPr>
        <w:tab/>
        <w:t xml:space="preserve">The response from defenders of the BNDES’ </w:t>
      </w:r>
      <w:r>
        <w:rPr>
          <w:rFonts w:cs="Times New Roman"/>
          <w:szCs w:val="24"/>
        </w:rPr>
        <w:t xml:space="preserve">current profile, including </w:t>
      </w:r>
      <w:r w:rsidRPr="000A58DA">
        <w:rPr>
          <w:rFonts w:cs="Times New Roman"/>
          <w:szCs w:val="24"/>
        </w:rPr>
        <w:t xml:space="preserve">Finance Minister (and former BNDES President) Guido </w:t>
      </w:r>
      <w:proofErr w:type="spellStart"/>
      <w:r w:rsidRPr="000A58DA">
        <w:rPr>
          <w:rFonts w:cs="Times New Roman"/>
          <w:szCs w:val="24"/>
        </w:rPr>
        <w:t>Mantega</w:t>
      </w:r>
      <w:proofErr w:type="spellEnd"/>
      <w:r w:rsidRPr="000A58DA">
        <w:rPr>
          <w:rFonts w:cs="Times New Roman"/>
          <w:szCs w:val="24"/>
        </w:rPr>
        <w:t xml:space="preserve"> and BNDES President Luciano </w:t>
      </w:r>
      <w:proofErr w:type="spellStart"/>
      <w:r w:rsidRPr="000A58DA">
        <w:rPr>
          <w:rFonts w:cs="Times New Roman"/>
          <w:szCs w:val="24"/>
        </w:rPr>
        <w:t>Coutinho</w:t>
      </w:r>
      <w:proofErr w:type="spellEnd"/>
      <w:r w:rsidRPr="000A58DA">
        <w:rPr>
          <w:rFonts w:cs="Times New Roman"/>
          <w:szCs w:val="24"/>
        </w:rPr>
        <w:t xml:space="preserve">, as well as former BNDES President Carlos </w:t>
      </w:r>
      <w:proofErr w:type="spellStart"/>
      <w:r w:rsidRPr="000A58DA">
        <w:rPr>
          <w:rFonts w:cs="Times New Roman"/>
          <w:szCs w:val="24"/>
        </w:rPr>
        <w:t>Lessa</w:t>
      </w:r>
      <w:proofErr w:type="spellEnd"/>
      <w:r w:rsidRPr="000A58DA">
        <w:rPr>
          <w:rFonts w:cs="Times New Roman"/>
          <w:szCs w:val="24"/>
        </w:rPr>
        <w:t xml:space="preserve"> and many others, coheres around five main points (</w:t>
      </w:r>
      <w:proofErr w:type="spellStart"/>
      <w:r w:rsidRPr="000A58DA">
        <w:rPr>
          <w:rFonts w:cs="Times New Roman"/>
          <w:szCs w:val="24"/>
        </w:rPr>
        <w:t>Lessa</w:t>
      </w:r>
      <w:proofErr w:type="spellEnd"/>
      <w:r w:rsidRPr="000A58DA">
        <w:rPr>
          <w:rFonts w:cs="Times New Roman"/>
          <w:szCs w:val="24"/>
        </w:rPr>
        <w:t xml:space="preserve"> 2005; Torres </w:t>
      </w:r>
      <w:proofErr w:type="spellStart"/>
      <w:r w:rsidRPr="000A58DA">
        <w:rPr>
          <w:rFonts w:cs="Times New Roman"/>
          <w:szCs w:val="24"/>
        </w:rPr>
        <w:t>Filho</w:t>
      </w:r>
      <w:proofErr w:type="spellEnd"/>
      <w:r w:rsidRPr="000A58DA">
        <w:rPr>
          <w:rFonts w:cs="Times New Roman"/>
          <w:szCs w:val="24"/>
        </w:rPr>
        <w:t xml:space="preserve"> 2005, 2009; Torres </w:t>
      </w:r>
      <w:proofErr w:type="spellStart"/>
      <w:r w:rsidRPr="000A58DA">
        <w:rPr>
          <w:rFonts w:cs="Times New Roman"/>
          <w:szCs w:val="24"/>
        </w:rPr>
        <w:t>Filho</w:t>
      </w:r>
      <w:proofErr w:type="spellEnd"/>
      <w:r w:rsidRPr="000A58DA">
        <w:rPr>
          <w:rFonts w:cs="Times New Roman"/>
          <w:szCs w:val="24"/>
        </w:rPr>
        <w:t xml:space="preserve"> and Costa 2012). As </w:t>
      </w:r>
      <w:proofErr w:type="spellStart"/>
      <w:r w:rsidRPr="000A58DA">
        <w:rPr>
          <w:rFonts w:cs="Times New Roman"/>
          <w:szCs w:val="24"/>
        </w:rPr>
        <w:t>Coutinho</w:t>
      </w:r>
      <w:proofErr w:type="spellEnd"/>
      <w:r w:rsidRPr="000A58DA">
        <w:rPr>
          <w:rFonts w:cs="Times New Roman"/>
          <w:szCs w:val="24"/>
        </w:rPr>
        <w:t xml:space="preserve"> patiently explains, the reason for large grants of public money to the BNDES is that Brazil has urgent needs for centrally-prioritized investments, which provide an invaluable public good (Wheatley 2009). President Lula da Silva also frequently reiterated his support for the BNDES as essential to the country’s commitment to public investment in exports, in industry, in basic research, asserting that, “the world will continue to need more food, and Brazil has all the proper conditions to produce part of that food. .. [W]e have just discovered a lot of oil, and we do not </w:t>
      </w:r>
      <w:r w:rsidRPr="000A58DA">
        <w:rPr>
          <w:rFonts w:cs="Times New Roman"/>
          <w:szCs w:val="24"/>
        </w:rPr>
        <w:lastRenderedPageBreak/>
        <w:t>want to use oil as traditionally the oil countries have used oil, … We want to be exporters of oil derivatives, not exporters of oil, because we want to develop a strong oil industry and a strong shipbuilding industry together. We want to build our own drilling rigs, our own offshore platforms, and our own ships. And we want to develop a strong petrochemicals industry..” (</w:t>
      </w:r>
      <w:r w:rsidRPr="000A58DA">
        <w:rPr>
          <w:rFonts w:cs="Times New Roman"/>
          <w:i/>
          <w:szCs w:val="24"/>
        </w:rPr>
        <w:t xml:space="preserve">FT </w:t>
      </w:r>
      <w:r w:rsidRPr="000A58DA">
        <w:rPr>
          <w:rFonts w:cs="Times New Roman"/>
          <w:szCs w:val="24"/>
        </w:rPr>
        <w:t>November 8, 2009). The</w:t>
      </w:r>
      <w:r>
        <w:rPr>
          <w:rFonts w:cs="Times New Roman"/>
          <w:szCs w:val="24"/>
        </w:rPr>
        <w:t xml:space="preserve"> argument is that the</w:t>
      </w:r>
      <w:r w:rsidRPr="000A58DA">
        <w:rPr>
          <w:rFonts w:cs="Times New Roman"/>
          <w:szCs w:val="24"/>
        </w:rPr>
        <w:t>se projects are simply too big, too risky, and too long-term for the private sector to handle: hence the need for public financing.</w:t>
      </w:r>
    </w:p>
    <w:p w:rsidR="00081943" w:rsidRPr="000A58DA" w:rsidRDefault="00081943" w:rsidP="00081943">
      <w:pPr>
        <w:pStyle w:val="NormalWeb"/>
        <w:spacing w:before="0" w:beforeAutospacing="0" w:after="0" w:afterAutospacing="0" w:line="480" w:lineRule="auto"/>
      </w:pPr>
      <w:r w:rsidRPr="000A58DA">
        <w:tab/>
        <w:t>Second, BNDES officials insist that the bank has nothing to do with Brazil’s problem of high interest rates or the related problem of high bank spreads between their deposit and lending interest rates. The origins of Brazil’s high interest rates are historically-generated expectations being extrapolated forward, combined with oligopoly in the commercial banking sector, the latter compounded by significant bar</w:t>
      </w:r>
      <w:r>
        <w:t xml:space="preserve">riers to entry into banking. In  </w:t>
      </w:r>
      <w:r w:rsidRPr="000A58DA">
        <w:t xml:space="preserve">BNDES President </w:t>
      </w:r>
      <w:proofErr w:type="spellStart"/>
      <w:r w:rsidRPr="000A58DA">
        <w:t>Coutinho</w:t>
      </w:r>
      <w:r>
        <w:t>’s</w:t>
      </w:r>
      <w:proofErr w:type="spellEnd"/>
      <w:r>
        <w:t xml:space="preserve"> words,</w:t>
      </w:r>
      <w:r w:rsidRPr="000A58DA">
        <w:t xml:space="preserve"> “The distortion is that short-term borrowing rates in Brazil are much higher than in other countries. Our long-term rates are a bit higher than in the US, the UK or South Korea. There’s no distortion there. The problem is in the short term. But thanks to the macro-economic advances under President Lula, the spread between short and long term rates has fallen. This is our last big challenge: to have </w:t>
      </w:r>
      <w:proofErr w:type="spellStart"/>
      <w:r w:rsidRPr="000A58DA">
        <w:t>civilised</w:t>
      </w:r>
      <w:proofErr w:type="spellEnd"/>
      <w:r w:rsidRPr="000A58DA">
        <w:t xml:space="preserve"> interest rates”</w:t>
      </w:r>
      <w:r>
        <w:t xml:space="preserve"> (Wheatley 2009).  That is</w:t>
      </w:r>
      <w:r w:rsidRPr="000A58DA">
        <w:t xml:space="preserve">, since the BNDES loans only long-term, and at low rates linked to its low cost of funds (the TJLP), it hardly can be taxed with responsibility for </w:t>
      </w:r>
      <w:r>
        <w:t xml:space="preserve">Brazil’s </w:t>
      </w:r>
      <w:r w:rsidRPr="000A58DA">
        <w:t>abusive short-term rates.</w:t>
      </w:r>
    </w:p>
    <w:p w:rsidR="00081943" w:rsidRPr="000A58DA" w:rsidRDefault="00081943" w:rsidP="00081943">
      <w:pPr>
        <w:spacing w:line="480" w:lineRule="auto"/>
        <w:rPr>
          <w:rFonts w:cs="Times New Roman"/>
          <w:szCs w:val="24"/>
        </w:rPr>
      </w:pPr>
      <w:r w:rsidRPr="000A58DA">
        <w:rPr>
          <w:rFonts w:cs="Times New Roman"/>
          <w:szCs w:val="24"/>
        </w:rPr>
        <w:tab/>
        <w:t>Third, the activities of the BNDES do not conflict with the private financial sector—on the contrary, the BNDES “crowds in” private financing and investment by working closely with a wide range of private financial actors. For example, around 50 percent of BNDES len</w:t>
      </w:r>
      <w:r>
        <w:rPr>
          <w:rFonts w:cs="Times New Roman"/>
          <w:szCs w:val="24"/>
        </w:rPr>
        <w:t>ding is “indirect,” consisting of</w:t>
      </w:r>
      <w:r w:rsidRPr="000A58DA">
        <w:rPr>
          <w:rFonts w:cs="Times New Roman"/>
          <w:szCs w:val="24"/>
        </w:rPr>
        <w:t xml:space="preserve"> on-lending through a nationwide network of private banks. The BNDES helps keep these smaller banks, who are close to their small business customers throughout </w:t>
      </w:r>
      <w:r w:rsidRPr="000A58DA">
        <w:rPr>
          <w:rFonts w:cs="Times New Roman"/>
          <w:szCs w:val="24"/>
        </w:rPr>
        <w:lastRenderedPageBreak/>
        <w:t>Brazil, in business. For big projects, including major new infrastructure undertakings such as hydroelectric dams, the BNDES does the project design and provides par</w:t>
      </w:r>
      <w:r>
        <w:rPr>
          <w:rFonts w:cs="Times New Roman"/>
          <w:szCs w:val="24"/>
        </w:rPr>
        <w:t>tial financing, but also offer</w:t>
      </w:r>
      <w:r w:rsidRPr="000A58DA">
        <w:rPr>
          <w:rFonts w:cs="Times New Roman"/>
          <w:szCs w:val="24"/>
        </w:rPr>
        <w:t xml:space="preserve">s lucrative co-financing opportunities for Brazil’s largest financial institutions banks, whether the big universal banks or smaller investment/merchant banks. Moreover, the BNDES has been a great help in the expansion and technical improvement of Brazil’s capital markets—which are finally beginning to provide an alternative domestic source of long-term financing. Thus, for example, in December 2010 Brazil’s securities’ exchange, the </w:t>
      </w:r>
      <w:proofErr w:type="spellStart"/>
      <w:r w:rsidRPr="000A58DA">
        <w:rPr>
          <w:rFonts w:cs="Times New Roman"/>
          <w:szCs w:val="24"/>
        </w:rPr>
        <w:t>BM&amp;FBovespa</w:t>
      </w:r>
      <w:proofErr w:type="spellEnd"/>
      <w:r w:rsidRPr="000A58DA">
        <w:rPr>
          <w:rFonts w:cs="Times New Roman"/>
          <w:szCs w:val="24"/>
        </w:rPr>
        <w:t xml:space="preserve">, and the BNDES, together launched the Carbon Efficient Index, a tradable index asset consisting only of the shares of “green” Brazilian firms, just in time to be announced at the meeting of the </w:t>
      </w:r>
      <w:proofErr w:type="spellStart"/>
      <w:r w:rsidRPr="000A58DA">
        <w:rPr>
          <w:rFonts w:cs="Times New Roman"/>
          <w:szCs w:val="24"/>
        </w:rPr>
        <w:t>Cancún</w:t>
      </w:r>
      <w:proofErr w:type="spellEnd"/>
      <w:r w:rsidRPr="000A58DA">
        <w:rPr>
          <w:rFonts w:cs="Times New Roman"/>
          <w:szCs w:val="24"/>
        </w:rPr>
        <w:t xml:space="preserve">, Mexico United Nations Conference of the Parties (COP-16) of the Framework Convention on Climate Change (BNDES News, December 8, 2010). Moreover, </w:t>
      </w:r>
      <w:proofErr w:type="spellStart"/>
      <w:r w:rsidRPr="000A58DA">
        <w:rPr>
          <w:rFonts w:cs="Times New Roman"/>
          <w:szCs w:val="24"/>
        </w:rPr>
        <w:t>BNDESPar</w:t>
      </w:r>
      <w:proofErr w:type="spellEnd"/>
      <w:r w:rsidRPr="000A58DA">
        <w:rPr>
          <w:rFonts w:cs="Times New Roman"/>
          <w:szCs w:val="24"/>
        </w:rPr>
        <w:t xml:space="preserve"> is one of Brazil’s major institutional investors, and its trading activity assists in keeping the market liquid. </w:t>
      </w:r>
    </w:p>
    <w:p w:rsidR="00081943" w:rsidRDefault="00081943" w:rsidP="00081943">
      <w:pPr>
        <w:spacing w:line="480" w:lineRule="auto"/>
        <w:rPr>
          <w:rFonts w:cs="Times New Roman"/>
          <w:szCs w:val="24"/>
        </w:rPr>
      </w:pPr>
      <w:r w:rsidRPr="000A58DA">
        <w:rPr>
          <w:rFonts w:cs="Times New Roman"/>
          <w:szCs w:val="24"/>
        </w:rPr>
        <w:tab/>
        <w:t xml:space="preserve">Fourth, </w:t>
      </w:r>
      <w:r>
        <w:rPr>
          <w:rFonts w:cs="Times New Roman"/>
          <w:szCs w:val="24"/>
        </w:rPr>
        <w:t xml:space="preserve">the </w:t>
      </w:r>
      <w:r w:rsidRPr="000A58DA">
        <w:rPr>
          <w:rFonts w:cs="Times New Roman"/>
          <w:szCs w:val="24"/>
        </w:rPr>
        <w:t xml:space="preserve">defenders of the BNDES’ current activities agree that the bank’s current overwhelming dominance of long-term financing in Brazil must change, but suggest that such changes already are in progress (Torres and Costa 2012). BNDES President </w:t>
      </w:r>
      <w:proofErr w:type="spellStart"/>
      <w:r w:rsidRPr="000A58DA">
        <w:rPr>
          <w:rFonts w:cs="Times New Roman"/>
          <w:szCs w:val="24"/>
        </w:rPr>
        <w:t>Coutinho</w:t>
      </w:r>
      <w:proofErr w:type="spellEnd"/>
      <w:r w:rsidRPr="000A58DA">
        <w:rPr>
          <w:rFonts w:cs="Times New Roman"/>
          <w:szCs w:val="24"/>
        </w:rPr>
        <w:t xml:space="preserve"> notes that BNDES currently is responsible for about 20 to 25 percent of all investment in Brazil, but that he’d like to see this share eventually reduced to only 10 to 12 percent (</w:t>
      </w:r>
      <w:r w:rsidRPr="000A58DA">
        <w:rPr>
          <w:rFonts w:cs="Times New Roman"/>
          <w:i/>
          <w:szCs w:val="24"/>
        </w:rPr>
        <w:t xml:space="preserve">Reuters </w:t>
      </w:r>
      <w:r w:rsidRPr="000A58DA">
        <w:rPr>
          <w:rFonts w:cs="Times New Roman"/>
          <w:szCs w:val="24"/>
        </w:rPr>
        <w:t xml:space="preserve">February 15, 2011). Moreover, at least one form of long-term financing is beginning to appear: the capital markets. Between 1990 and 2009, total stock market capitalization in Brazil expanded from just under 7 percent to 113 percent of GDP, suggesting a major and salutary recent expansion of this alternate source of long-term finance in Brazil (Beck, </w:t>
      </w:r>
      <w:proofErr w:type="spellStart"/>
      <w:r w:rsidRPr="000A58DA">
        <w:rPr>
          <w:rFonts w:cs="Times New Roman"/>
          <w:szCs w:val="24"/>
        </w:rPr>
        <w:t>Demirgüç-Kunt</w:t>
      </w:r>
      <w:proofErr w:type="spellEnd"/>
      <w:r w:rsidRPr="000A58DA">
        <w:rPr>
          <w:rFonts w:cs="Times New Roman"/>
          <w:szCs w:val="24"/>
        </w:rPr>
        <w:t xml:space="preserve">, and Levine 2000 [2009]). </w:t>
      </w:r>
    </w:p>
    <w:p w:rsidR="00081943" w:rsidRPr="000A58DA" w:rsidRDefault="00081943" w:rsidP="00081943">
      <w:pPr>
        <w:autoSpaceDE w:val="0"/>
        <w:autoSpaceDN w:val="0"/>
        <w:adjustRightInd w:val="0"/>
        <w:spacing w:line="480" w:lineRule="auto"/>
        <w:rPr>
          <w:rFonts w:cs="Times New Roman"/>
          <w:szCs w:val="24"/>
        </w:rPr>
      </w:pPr>
      <w:r w:rsidRPr="000A58DA">
        <w:rPr>
          <w:rFonts w:cs="Times New Roman"/>
          <w:szCs w:val="24"/>
        </w:rPr>
        <w:tab/>
        <w:t xml:space="preserve">Fifth, Brazil’s government needs a strong, competent, flexible instrument to respond to changing national and international circumstances, and the BNDES has proven its worth on this </w:t>
      </w:r>
      <w:r w:rsidRPr="000A58DA">
        <w:rPr>
          <w:rFonts w:cs="Times New Roman"/>
          <w:szCs w:val="24"/>
        </w:rPr>
        <w:lastRenderedPageBreak/>
        <w:t>score time and again (</w:t>
      </w:r>
      <w:proofErr w:type="spellStart"/>
      <w:r w:rsidRPr="000A58DA">
        <w:rPr>
          <w:rFonts w:cs="Times New Roman"/>
          <w:szCs w:val="24"/>
        </w:rPr>
        <w:t>Lessa</w:t>
      </w:r>
      <w:proofErr w:type="spellEnd"/>
      <w:r w:rsidRPr="000A58DA">
        <w:rPr>
          <w:rFonts w:cs="Times New Roman"/>
          <w:szCs w:val="24"/>
        </w:rPr>
        <w:t xml:space="preserve"> 2005; Torres </w:t>
      </w:r>
      <w:proofErr w:type="spellStart"/>
      <w:r w:rsidRPr="000A58DA">
        <w:rPr>
          <w:rFonts w:cs="Times New Roman"/>
          <w:szCs w:val="24"/>
        </w:rPr>
        <w:t>Filho</w:t>
      </w:r>
      <w:proofErr w:type="spellEnd"/>
      <w:r w:rsidRPr="000A58DA">
        <w:rPr>
          <w:rFonts w:cs="Times New Roman"/>
          <w:szCs w:val="24"/>
        </w:rPr>
        <w:t xml:space="preserve"> 2006, 2007). To take a recent but stunning example, Brazil performed well in the recent global financial crisis of 2008-9, which the finance minister responded to by two main actions: the government instituted a series of new, temporary capital controls, while also expanding liquidity both directly and by transferring a large sum of money from the National Treasury to the BNDES, leading to the expansion shown in Figure 1 above. Because the BNDES was competent, honest, and had (with its nationwide network of private bank partners) a long list of plausible investment projects more or less ready to go, the stimulus quickly got out to the real economy, with most of it going for genuinely valuable investments, although consumer credit markets in automobiles and  residential housing did begin to overheat. Even the IMF praised Brazil’s crisis management, observing, “</w:t>
      </w:r>
      <w:r w:rsidRPr="000A58DA">
        <w:rPr>
          <w:rFonts w:cs="Times New Roman"/>
          <w:bCs/>
          <w:szCs w:val="24"/>
        </w:rPr>
        <w:t>Due to deft policy responses and built-in financial system buffers, the financial system weathered the global crisis remarkably well</w:t>
      </w:r>
      <w:r w:rsidRPr="000A58DA">
        <w:rPr>
          <w:rFonts w:cs="Times New Roman"/>
          <w:szCs w:val="24"/>
        </w:rPr>
        <w:t xml:space="preserve">,” and highlighting the “quasi fiscal stimulus through the national development bank” and “measures to channel liquidity to small and medium-sized banks facing stress” (Madrid 2012:6). In December 2012, President </w:t>
      </w:r>
      <w:proofErr w:type="spellStart"/>
      <w:r w:rsidRPr="000A58DA">
        <w:rPr>
          <w:rFonts w:cs="Times New Roman"/>
          <w:szCs w:val="24"/>
        </w:rPr>
        <w:t>Dilma</w:t>
      </w:r>
      <w:proofErr w:type="spellEnd"/>
      <w:r w:rsidRPr="000A58DA">
        <w:rPr>
          <w:rFonts w:cs="Times New Roman"/>
          <w:szCs w:val="24"/>
        </w:rPr>
        <w:t xml:space="preserve"> </w:t>
      </w:r>
      <w:proofErr w:type="spellStart"/>
      <w:r w:rsidRPr="000A58DA">
        <w:rPr>
          <w:rFonts w:cs="Times New Roman"/>
          <w:szCs w:val="24"/>
        </w:rPr>
        <w:t>Rousseff</w:t>
      </w:r>
      <w:proofErr w:type="spellEnd"/>
      <w:r w:rsidRPr="000A58DA">
        <w:rPr>
          <w:rFonts w:cs="Times New Roman"/>
          <w:szCs w:val="24"/>
        </w:rPr>
        <w:t xml:space="preserve"> again used the BNDES to implement emergency economic stimulus measures, including lowering the TJLP from 5.5 to 5 percent and extending for another year an emergency credit line of R$ 100 billion from the National Treasury to finance the purchase of capital goods (Biller 2012).</w:t>
      </w:r>
    </w:p>
    <w:p w:rsidR="00081943" w:rsidRPr="000A58DA" w:rsidRDefault="00081943" w:rsidP="00081943">
      <w:pPr>
        <w:spacing w:line="480" w:lineRule="auto"/>
        <w:rPr>
          <w:rFonts w:cs="Times New Roman"/>
          <w:szCs w:val="24"/>
        </w:rPr>
      </w:pPr>
      <w:r w:rsidRPr="000A58DA">
        <w:rPr>
          <w:rFonts w:cs="Times New Roman"/>
          <w:szCs w:val="24"/>
        </w:rPr>
        <w:tab/>
        <w:t>To comple</w:t>
      </w:r>
      <w:r>
        <w:rPr>
          <w:rFonts w:cs="Times New Roman"/>
          <w:szCs w:val="24"/>
        </w:rPr>
        <w:t xml:space="preserve">te this discussion, I report </w:t>
      </w:r>
      <w:r w:rsidRPr="000A58DA">
        <w:rPr>
          <w:rFonts w:cs="Times New Roman"/>
          <w:szCs w:val="24"/>
        </w:rPr>
        <w:t xml:space="preserve">the </w:t>
      </w:r>
      <w:r>
        <w:rPr>
          <w:rFonts w:cs="Times New Roman"/>
          <w:szCs w:val="24"/>
        </w:rPr>
        <w:t xml:space="preserve">four-point </w:t>
      </w:r>
      <w:r w:rsidRPr="000A58DA">
        <w:rPr>
          <w:rFonts w:cs="Times New Roman"/>
          <w:szCs w:val="24"/>
        </w:rPr>
        <w:t>rebuttal from critics of the current management of the BND</w:t>
      </w:r>
      <w:r>
        <w:rPr>
          <w:rFonts w:cs="Times New Roman"/>
          <w:szCs w:val="24"/>
        </w:rPr>
        <w:t>ES</w:t>
      </w:r>
      <w:r w:rsidRPr="000A58DA">
        <w:rPr>
          <w:rFonts w:cs="Times New Roman"/>
          <w:szCs w:val="24"/>
        </w:rPr>
        <w:t xml:space="preserve">. First, if the root cause of Brazil’s high interest rates is the dominance of credit markets by oligopoly players, then </w:t>
      </w:r>
      <w:r>
        <w:rPr>
          <w:rFonts w:cs="Times New Roman"/>
          <w:szCs w:val="24"/>
        </w:rPr>
        <w:t xml:space="preserve">we should recall </w:t>
      </w:r>
      <w:r w:rsidRPr="000A58DA">
        <w:rPr>
          <w:rFonts w:cs="Times New Roman"/>
          <w:szCs w:val="24"/>
        </w:rPr>
        <w:t xml:space="preserve">that the BNDES itself is a monopolist, with the unfair advantage of access to a large—and growing—pool of below-market resources. Second, the close, cooperative relations of the BNDES with many important private banks and financial institutions may have solved the problem of the BNDES’ monopoly </w:t>
      </w:r>
      <w:r w:rsidRPr="000A58DA">
        <w:rPr>
          <w:rFonts w:cs="Times New Roman"/>
          <w:szCs w:val="24"/>
        </w:rPr>
        <w:lastRenderedPageBreak/>
        <w:t xml:space="preserve">of long-term credit markets for these financial actors—but it has done so by pushing the costs of this cozy arrangement off onto ordinary Brazilian citizens, who continue to pay extraordinarily high real interest rates. For the largest firms with access to either BNDES or lower-cost international financing, Brazil’s high free market rates are not necessarily a problem, but for other borrowers they are. Overall--and notwithstanding the BNDES’ recent efforts to expand lending to micro, small, and medium firms--Brazil clearly has a socially regressive national financial policy framework. </w:t>
      </w:r>
      <w:r>
        <w:rPr>
          <w:rFonts w:cs="Times New Roman"/>
          <w:szCs w:val="24"/>
        </w:rPr>
        <w:t xml:space="preserve">Third, the very large presence of state-owned investors, including the BNDES, in Brazil’s capital markets suggests that these markets also remain dependent. </w:t>
      </w:r>
      <w:r w:rsidRPr="00022C75">
        <w:rPr>
          <w:szCs w:val="24"/>
        </w:rPr>
        <w:t xml:space="preserve">In 2011, public sector entities controlled 48 percent of all pension fund assets and 30 percent of mutual fund assets (EIU 2012:21-2). </w:t>
      </w:r>
      <w:r w:rsidRPr="000A58DA">
        <w:rPr>
          <w:rFonts w:cs="Times New Roman"/>
          <w:szCs w:val="24"/>
        </w:rPr>
        <w:t xml:space="preserve">Finally, the BNDES’ critics emphasize their advocacy of a smaller BNDES refocused on its core competencies in infrastructure, heavy industry, innovation, and special purpose funds. The institution still will be available to be employed by the state for crisis management or to initiate new, strategic planning and projects. No one, they reiterate, is suggesting that the BNDES be abolished. </w:t>
      </w:r>
    </w:p>
    <w:p w:rsidR="00081943" w:rsidRPr="000A58DA" w:rsidRDefault="00081943" w:rsidP="00081943">
      <w:pPr>
        <w:spacing w:line="480" w:lineRule="auto"/>
        <w:rPr>
          <w:rFonts w:cs="Times New Roman"/>
          <w:szCs w:val="24"/>
        </w:rPr>
      </w:pPr>
      <w:r w:rsidRPr="000A58DA">
        <w:rPr>
          <w:rFonts w:cs="Times New Roman"/>
          <w:szCs w:val="24"/>
        </w:rPr>
        <w:tab/>
        <w:t xml:space="preserve">This section has described a sometimes </w:t>
      </w:r>
      <w:r>
        <w:rPr>
          <w:rFonts w:cs="Times New Roman"/>
          <w:szCs w:val="24"/>
        </w:rPr>
        <w:t xml:space="preserve">acrimonious </w:t>
      </w:r>
      <w:r w:rsidRPr="000A58DA">
        <w:rPr>
          <w:rFonts w:cs="Times New Roman"/>
          <w:szCs w:val="24"/>
        </w:rPr>
        <w:t>policy debate, whose major proponents are past and present government economic officials, over the way that the BNDES has pursued its mandates to employ Expertise to push the economy forward, while also ostensibly promoting private financial Markets. Views on the desirable ro</w:t>
      </w:r>
      <w:r>
        <w:rPr>
          <w:rFonts w:cs="Times New Roman"/>
          <w:szCs w:val="24"/>
        </w:rPr>
        <w:t xml:space="preserve">le of the BNDES—and the larger new </w:t>
      </w:r>
      <w:proofErr w:type="spellStart"/>
      <w:r>
        <w:rPr>
          <w:rFonts w:cs="Times New Roman"/>
          <w:szCs w:val="24"/>
        </w:rPr>
        <w:t>d</w:t>
      </w:r>
      <w:r w:rsidRPr="000A58DA">
        <w:rPr>
          <w:rFonts w:cs="Times New Roman"/>
          <w:szCs w:val="24"/>
        </w:rPr>
        <w:t>evelopmentalist</w:t>
      </w:r>
      <w:proofErr w:type="spellEnd"/>
      <w:r w:rsidRPr="000A58DA">
        <w:rPr>
          <w:rFonts w:cs="Times New Roman"/>
          <w:szCs w:val="24"/>
        </w:rPr>
        <w:t xml:space="preserve"> model of which it is the most obvious manifestation—fall out along a partisan (but not terribly wide) divide.  The intellectual debate remains unsettled—but meanwhile the center-left remains firmly in power in Brasília.</w:t>
      </w:r>
    </w:p>
    <w:p w:rsidR="00081943" w:rsidRDefault="00081943" w:rsidP="00081943">
      <w:pPr>
        <w:spacing w:line="480" w:lineRule="auto"/>
        <w:rPr>
          <w:rFonts w:cs="Times New Roman"/>
          <w:b/>
          <w:szCs w:val="24"/>
        </w:rPr>
      </w:pPr>
    </w:p>
    <w:p w:rsidR="00081943" w:rsidRDefault="00081943" w:rsidP="00081943">
      <w:pPr>
        <w:spacing w:line="480" w:lineRule="auto"/>
        <w:rPr>
          <w:rFonts w:cs="Times New Roman"/>
          <w:b/>
          <w:szCs w:val="24"/>
        </w:rPr>
      </w:pPr>
    </w:p>
    <w:p w:rsidR="00081943" w:rsidRPr="000A58DA" w:rsidRDefault="00081943" w:rsidP="00081943">
      <w:pPr>
        <w:spacing w:line="480" w:lineRule="auto"/>
        <w:rPr>
          <w:rFonts w:cs="Times New Roman"/>
          <w:b/>
          <w:szCs w:val="24"/>
        </w:rPr>
      </w:pPr>
      <w:r w:rsidRPr="000A58DA">
        <w:rPr>
          <w:rFonts w:cs="Times New Roman"/>
          <w:b/>
          <w:szCs w:val="24"/>
        </w:rPr>
        <w:lastRenderedPageBreak/>
        <w:t>VI. Conclusions</w:t>
      </w:r>
    </w:p>
    <w:p w:rsidR="00081943" w:rsidRDefault="00081943" w:rsidP="00081943">
      <w:pPr>
        <w:spacing w:line="480" w:lineRule="auto"/>
        <w:rPr>
          <w:rFonts w:cs="Times New Roman"/>
          <w:szCs w:val="24"/>
        </w:rPr>
      </w:pPr>
      <w:r w:rsidRPr="000A58DA">
        <w:rPr>
          <w:rFonts w:cs="Times New Roman"/>
          <w:szCs w:val="24"/>
        </w:rPr>
        <w:tab/>
        <w:t>This paper be</w:t>
      </w:r>
      <w:r>
        <w:rPr>
          <w:rFonts w:cs="Times New Roman"/>
          <w:szCs w:val="24"/>
        </w:rPr>
        <w:t xml:space="preserve">gan by observing that the principal differences between Brazil’s old ISI </w:t>
      </w:r>
      <w:proofErr w:type="spellStart"/>
      <w:r>
        <w:rPr>
          <w:rFonts w:cs="Times New Roman"/>
          <w:szCs w:val="24"/>
        </w:rPr>
        <w:t>developmentalism</w:t>
      </w:r>
      <w:proofErr w:type="spellEnd"/>
      <w:r>
        <w:rPr>
          <w:rFonts w:cs="Times New Roman"/>
          <w:szCs w:val="24"/>
        </w:rPr>
        <w:t xml:space="preserve"> </w:t>
      </w:r>
      <w:r w:rsidRPr="000A58DA">
        <w:rPr>
          <w:rFonts w:cs="Times New Roman"/>
          <w:szCs w:val="24"/>
        </w:rPr>
        <w:t>of the 1950s through 1970s</w:t>
      </w:r>
      <w:r>
        <w:rPr>
          <w:rFonts w:cs="Times New Roman"/>
          <w:szCs w:val="24"/>
        </w:rPr>
        <w:t xml:space="preserve"> and the new </w:t>
      </w:r>
      <w:proofErr w:type="spellStart"/>
      <w:r>
        <w:rPr>
          <w:rFonts w:cs="Times New Roman"/>
          <w:szCs w:val="24"/>
        </w:rPr>
        <w:t>d</w:t>
      </w:r>
      <w:r w:rsidRPr="000A58DA">
        <w:rPr>
          <w:rFonts w:cs="Times New Roman"/>
          <w:szCs w:val="24"/>
        </w:rPr>
        <w:t>evelopmentalism</w:t>
      </w:r>
      <w:proofErr w:type="spellEnd"/>
      <w:r w:rsidRPr="000A58DA">
        <w:rPr>
          <w:rFonts w:cs="Times New Roman"/>
          <w:szCs w:val="24"/>
        </w:rPr>
        <w:t xml:space="preserve"> </w:t>
      </w:r>
      <w:r>
        <w:rPr>
          <w:rFonts w:cs="Times New Roman"/>
          <w:szCs w:val="24"/>
        </w:rPr>
        <w:t>of the 1990s and after lay</w:t>
      </w:r>
      <w:r w:rsidRPr="000A58DA">
        <w:rPr>
          <w:rFonts w:cs="Times New Roman"/>
          <w:szCs w:val="24"/>
        </w:rPr>
        <w:t xml:space="preserve">, first, </w:t>
      </w:r>
      <w:r>
        <w:rPr>
          <w:rFonts w:cs="Times New Roman"/>
          <w:szCs w:val="24"/>
        </w:rPr>
        <w:t xml:space="preserve">in the ND’s </w:t>
      </w:r>
      <w:r w:rsidRPr="000A58DA">
        <w:rPr>
          <w:rFonts w:cs="Times New Roman"/>
          <w:szCs w:val="24"/>
        </w:rPr>
        <w:t xml:space="preserve">greater enthusiasm toward participation in global markets and, second, in its basis in a radically different underlying Brazilian </w:t>
      </w:r>
      <w:proofErr w:type="spellStart"/>
      <w:r w:rsidRPr="000A58DA">
        <w:rPr>
          <w:rFonts w:cs="Times New Roman"/>
          <w:szCs w:val="24"/>
        </w:rPr>
        <w:t>macroeconomy</w:t>
      </w:r>
      <w:proofErr w:type="spellEnd"/>
      <w:r w:rsidRPr="000A58DA">
        <w:rPr>
          <w:rFonts w:cs="Times New Roman"/>
          <w:szCs w:val="24"/>
        </w:rPr>
        <w:t xml:space="preserve">: one with credibly stable prices and a renewed attention to the evils of intense inequality. </w:t>
      </w:r>
      <w:r>
        <w:rPr>
          <w:rFonts w:cs="Times New Roman"/>
          <w:szCs w:val="24"/>
        </w:rPr>
        <w:t>There exist</w:t>
      </w:r>
      <w:r w:rsidRPr="000A58DA">
        <w:rPr>
          <w:rFonts w:cs="Times New Roman"/>
          <w:szCs w:val="24"/>
        </w:rPr>
        <w:t xml:space="preserve"> two recognizable policy camps within the larger, centrist Brazilian economic policy consensus</w:t>
      </w:r>
      <w:r>
        <w:rPr>
          <w:rFonts w:cs="Times New Roman"/>
          <w:szCs w:val="24"/>
        </w:rPr>
        <w:t xml:space="preserve"> on capitalist </w:t>
      </w:r>
      <w:proofErr w:type="spellStart"/>
      <w:r>
        <w:rPr>
          <w:rFonts w:cs="Times New Roman"/>
          <w:szCs w:val="24"/>
        </w:rPr>
        <w:t>developmentalism</w:t>
      </w:r>
      <w:proofErr w:type="spellEnd"/>
      <w:r>
        <w:rPr>
          <w:rFonts w:cs="Times New Roman"/>
          <w:szCs w:val="24"/>
        </w:rPr>
        <w:t>. The public bank trilemma is a useful framework for thinking about not only the BNDES, but the internal strains within Brazil’s ND more generally.</w:t>
      </w:r>
    </w:p>
    <w:p w:rsidR="00081943" w:rsidRDefault="00081943" w:rsidP="00081943">
      <w:pPr>
        <w:spacing w:line="480" w:lineRule="auto"/>
        <w:rPr>
          <w:rFonts w:cs="Times New Roman"/>
          <w:szCs w:val="24"/>
        </w:rPr>
      </w:pPr>
      <w:r>
        <w:rPr>
          <w:rFonts w:cs="Times New Roman"/>
          <w:szCs w:val="24"/>
        </w:rPr>
        <w:tab/>
        <w:t xml:space="preserve">The rationale for a national development bank turns on the autonomous exercise of Expertise to identify public goods that the private financial sector will not provide voluntarily, from promoting a unified South American market to enabling implementation of a rapid counter-cyclical macroeconomic policy response to a global financial crisis. There is a potential conflict with the imperative of Democracy, most especially when that bank draws heavily on taxpayer funds which it lends out at subsidized rates to Brazil’s largest firms, operating in oligopoly markets. However, in the case of the BNDES, which has a deserved reputation for competence and integrity, Bank presidents have worked closely with government finance ministers to implement executive branch priorities. Disgruntled members of the public have worked through Brazil’s legislature and the press—and occasionally through the courts, as when non-governmental environmental organizations have sued the BNDES for its support of large hydroelectric dams. The focus on supporting “national champions” with taxpayer funds tends to reinforce income inequality. However, such public policy disagreements are a normal part of the democratic process—and are to be resolved through the political system. </w:t>
      </w:r>
    </w:p>
    <w:p w:rsidR="00F31463" w:rsidRDefault="00081943" w:rsidP="00081943">
      <w:pPr>
        <w:spacing w:line="480" w:lineRule="auto"/>
        <w:rPr>
          <w:rFonts w:cs="Times New Roman"/>
          <w:szCs w:val="24"/>
        </w:rPr>
      </w:pPr>
      <w:r>
        <w:rPr>
          <w:rFonts w:cs="Times New Roman"/>
          <w:szCs w:val="24"/>
        </w:rPr>
        <w:lastRenderedPageBreak/>
        <w:tab/>
        <w:t xml:space="preserve">Accusing the BNDES of being anti-democratic thus seems to miss the mark. </w:t>
      </w:r>
      <w:r w:rsidRPr="000A58DA">
        <w:rPr>
          <w:rFonts w:cs="Times New Roman"/>
          <w:szCs w:val="24"/>
        </w:rPr>
        <w:t xml:space="preserve">For example, the plans for extensive infrastructure investments necessary to link the interior of Brazil with the industrialized Southeast and South, as well as with the rest of South America, are correctly identified </w:t>
      </w:r>
      <w:r>
        <w:rPr>
          <w:rFonts w:cs="Times New Roman"/>
          <w:szCs w:val="24"/>
        </w:rPr>
        <w:t xml:space="preserve">as policy priorities of both </w:t>
      </w:r>
      <w:r w:rsidRPr="000A58DA">
        <w:rPr>
          <w:rFonts w:cs="Times New Roman"/>
          <w:szCs w:val="24"/>
        </w:rPr>
        <w:t xml:space="preserve">the Cardoso </w:t>
      </w:r>
      <w:r>
        <w:rPr>
          <w:rFonts w:cs="Times New Roman"/>
          <w:szCs w:val="24"/>
        </w:rPr>
        <w:t xml:space="preserve">and </w:t>
      </w:r>
      <w:r w:rsidRPr="000A58DA">
        <w:rPr>
          <w:rFonts w:cs="Times New Roman"/>
          <w:szCs w:val="24"/>
        </w:rPr>
        <w:t xml:space="preserve">the Lula da Silva and </w:t>
      </w:r>
      <w:proofErr w:type="spellStart"/>
      <w:r w:rsidRPr="000A58DA">
        <w:rPr>
          <w:rFonts w:cs="Times New Roman"/>
          <w:szCs w:val="24"/>
        </w:rPr>
        <w:t>Rousseff</w:t>
      </w:r>
      <w:proofErr w:type="spellEnd"/>
      <w:r w:rsidRPr="000A58DA">
        <w:rPr>
          <w:rFonts w:cs="Times New Roman"/>
          <w:szCs w:val="24"/>
        </w:rPr>
        <w:t xml:space="preserve"> governments</w:t>
      </w:r>
      <w:r>
        <w:rPr>
          <w:rFonts w:cs="Times New Roman"/>
          <w:szCs w:val="24"/>
        </w:rPr>
        <w:t xml:space="preserve">—although </w:t>
      </w:r>
      <w:r w:rsidRPr="000A58DA">
        <w:rPr>
          <w:rFonts w:cs="Times New Roman"/>
          <w:szCs w:val="24"/>
        </w:rPr>
        <w:t xml:space="preserve">these investments have many critics within Brazil and internationally, particularly among environmentalists and supporters of the </w:t>
      </w:r>
      <w:r>
        <w:rPr>
          <w:rFonts w:cs="Times New Roman"/>
          <w:szCs w:val="24"/>
        </w:rPr>
        <w:t>rights of indigenous peoples.</w:t>
      </w:r>
      <w:r w:rsidRPr="000A58DA">
        <w:rPr>
          <w:rStyle w:val="EndnoteReference"/>
          <w:rFonts w:cs="Times New Roman"/>
          <w:szCs w:val="24"/>
        </w:rPr>
        <w:endnoteReference w:id="10"/>
      </w:r>
      <w:r w:rsidRPr="000A58DA">
        <w:rPr>
          <w:rFonts w:cs="Times New Roman"/>
          <w:szCs w:val="24"/>
        </w:rPr>
        <w:t xml:space="preserve"> </w:t>
      </w:r>
      <w:r w:rsidR="00716665" w:rsidRPr="000A58DA">
        <w:rPr>
          <w:rFonts w:cs="Times New Roman"/>
          <w:szCs w:val="24"/>
        </w:rPr>
        <w:t xml:space="preserve">In late 2012 the BNDES announced a multiyear loan of almost US$11 billion, its largest ever, to Norte </w:t>
      </w:r>
      <w:proofErr w:type="spellStart"/>
      <w:r w:rsidR="00716665" w:rsidRPr="000A58DA">
        <w:rPr>
          <w:rFonts w:cs="Times New Roman"/>
          <w:szCs w:val="24"/>
        </w:rPr>
        <w:t>Energia</w:t>
      </w:r>
      <w:proofErr w:type="spellEnd"/>
      <w:r w:rsidR="00716665" w:rsidRPr="000A58DA">
        <w:rPr>
          <w:rFonts w:cs="Times New Roman"/>
          <w:szCs w:val="24"/>
        </w:rPr>
        <w:t>, a construction consortium created to build the controversial hydroelectric dam known as Belo Monte (to be the world’s thi</w:t>
      </w:r>
      <w:r w:rsidR="00064D91">
        <w:rPr>
          <w:rFonts w:cs="Times New Roman"/>
          <w:szCs w:val="24"/>
        </w:rPr>
        <w:t xml:space="preserve">rd largest) on </w:t>
      </w:r>
      <w:r w:rsidR="00716665" w:rsidRPr="000A58DA">
        <w:rPr>
          <w:rFonts w:cs="Times New Roman"/>
          <w:szCs w:val="24"/>
        </w:rPr>
        <w:t>the Xingu River (</w:t>
      </w:r>
      <w:r w:rsidR="00716665" w:rsidRPr="000A58DA">
        <w:rPr>
          <w:rFonts w:cs="Times New Roman"/>
          <w:i/>
          <w:szCs w:val="24"/>
        </w:rPr>
        <w:t xml:space="preserve">Amazon Watch </w:t>
      </w:r>
      <w:r w:rsidR="00716665" w:rsidRPr="000A58DA">
        <w:rPr>
          <w:rFonts w:cs="Times New Roman"/>
          <w:szCs w:val="24"/>
        </w:rPr>
        <w:t xml:space="preserve">2012). </w:t>
      </w:r>
      <w:r w:rsidR="00064D91">
        <w:rPr>
          <w:rFonts w:cs="Times New Roman"/>
          <w:szCs w:val="24"/>
        </w:rPr>
        <w:t>A</w:t>
      </w:r>
      <w:r w:rsidR="00716665" w:rsidRPr="000A58DA">
        <w:rPr>
          <w:rFonts w:cs="Times New Roman"/>
          <w:szCs w:val="24"/>
        </w:rPr>
        <w:t xml:space="preserve">nother state bank, the </w:t>
      </w:r>
      <w:proofErr w:type="spellStart"/>
      <w:r w:rsidR="00716665" w:rsidRPr="000A58DA">
        <w:rPr>
          <w:rFonts w:cs="Times New Roman"/>
          <w:szCs w:val="24"/>
        </w:rPr>
        <w:t>Caixa</w:t>
      </w:r>
      <w:proofErr w:type="spellEnd"/>
      <w:r w:rsidR="00716665" w:rsidRPr="000A58DA">
        <w:rPr>
          <w:rFonts w:cs="Times New Roman"/>
          <w:szCs w:val="24"/>
        </w:rPr>
        <w:t xml:space="preserve"> </w:t>
      </w:r>
      <w:proofErr w:type="spellStart"/>
      <w:r w:rsidR="00716665" w:rsidRPr="000A58DA">
        <w:rPr>
          <w:rFonts w:cs="Times New Roman"/>
          <w:szCs w:val="24"/>
        </w:rPr>
        <w:t>Econômica</w:t>
      </w:r>
      <w:proofErr w:type="spellEnd"/>
      <w:r w:rsidR="00716665" w:rsidRPr="000A58DA">
        <w:rPr>
          <w:rFonts w:cs="Times New Roman"/>
          <w:szCs w:val="24"/>
        </w:rPr>
        <w:t xml:space="preserve"> Federal, </w:t>
      </w:r>
      <w:r w:rsidR="00064D91">
        <w:rPr>
          <w:rFonts w:cs="Times New Roman"/>
          <w:szCs w:val="24"/>
        </w:rPr>
        <w:t xml:space="preserve">will co-finance, as will </w:t>
      </w:r>
      <w:r w:rsidR="00716665" w:rsidRPr="000A58DA">
        <w:rPr>
          <w:rFonts w:cs="Times New Roman"/>
          <w:szCs w:val="24"/>
        </w:rPr>
        <w:t xml:space="preserve">the private investment bank, BTG </w:t>
      </w:r>
      <w:proofErr w:type="spellStart"/>
      <w:r w:rsidR="00716665" w:rsidRPr="000A58DA">
        <w:rPr>
          <w:rFonts w:cs="Times New Roman"/>
          <w:szCs w:val="24"/>
        </w:rPr>
        <w:t>Pactual</w:t>
      </w:r>
      <w:proofErr w:type="spellEnd"/>
      <w:r w:rsidR="00716665" w:rsidRPr="000A58DA">
        <w:rPr>
          <w:rFonts w:cs="Times New Roman"/>
          <w:szCs w:val="24"/>
        </w:rPr>
        <w:t xml:space="preserve">--which has, in this case, been “crowded in” by BNDES leadership (Place 2013). </w:t>
      </w:r>
      <w:r w:rsidR="00064D91" w:rsidRPr="000A58DA">
        <w:rPr>
          <w:rFonts w:cs="Times New Roman"/>
          <w:szCs w:val="24"/>
        </w:rPr>
        <w:t xml:space="preserve">Although the Belo Monte project’s opponents are not satisfied, the dam has passed through multiple environmental impact processes within Brazil and had its design modified as a result (see </w:t>
      </w:r>
      <w:proofErr w:type="spellStart"/>
      <w:r w:rsidR="00064D91" w:rsidRPr="000A58DA">
        <w:rPr>
          <w:rFonts w:cs="Times New Roman"/>
          <w:szCs w:val="24"/>
        </w:rPr>
        <w:t>Hoch</w:t>
      </w:r>
      <w:r w:rsidR="00064D91">
        <w:rPr>
          <w:rFonts w:cs="Times New Roman"/>
          <w:szCs w:val="24"/>
        </w:rPr>
        <w:t>statler</w:t>
      </w:r>
      <w:proofErr w:type="spellEnd"/>
      <w:r w:rsidR="00064D91">
        <w:rPr>
          <w:rFonts w:cs="Times New Roman"/>
          <w:szCs w:val="24"/>
        </w:rPr>
        <w:t xml:space="preserve"> in this volume). </w:t>
      </w:r>
      <w:r w:rsidR="006F74DE">
        <w:rPr>
          <w:rFonts w:cs="Times New Roman"/>
          <w:szCs w:val="24"/>
        </w:rPr>
        <w:t xml:space="preserve">There is </w:t>
      </w:r>
      <w:r w:rsidR="00064D91">
        <w:rPr>
          <w:rFonts w:cs="Times New Roman"/>
          <w:szCs w:val="24"/>
        </w:rPr>
        <w:t xml:space="preserve">thus </w:t>
      </w:r>
      <w:r w:rsidR="006F74DE">
        <w:rPr>
          <w:rFonts w:cs="Times New Roman"/>
          <w:szCs w:val="24"/>
        </w:rPr>
        <w:t xml:space="preserve">not a problem of an inappropriately autonomous Bank escaping from legitimate political oversight. </w:t>
      </w:r>
      <w:r w:rsidR="00554631">
        <w:rPr>
          <w:rFonts w:cs="Times New Roman"/>
          <w:szCs w:val="24"/>
        </w:rPr>
        <w:t>On th</w:t>
      </w:r>
      <w:r w:rsidR="000161C8">
        <w:rPr>
          <w:rFonts w:cs="Times New Roman"/>
          <w:szCs w:val="24"/>
        </w:rPr>
        <w:t>e whole, Brazil has managed the Expertise-Democracy</w:t>
      </w:r>
      <w:r w:rsidR="00554631">
        <w:rPr>
          <w:rFonts w:cs="Times New Roman"/>
          <w:szCs w:val="24"/>
        </w:rPr>
        <w:t xml:space="preserve"> vector of the public bank regulatory trilemma well.</w:t>
      </w:r>
    </w:p>
    <w:p w:rsidR="005749BA" w:rsidRDefault="00D84DF4" w:rsidP="00081943">
      <w:pPr>
        <w:spacing w:line="480" w:lineRule="auto"/>
        <w:rPr>
          <w:rFonts w:cs="Times New Roman"/>
          <w:szCs w:val="24"/>
        </w:rPr>
      </w:pPr>
      <w:r w:rsidRPr="000A58DA">
        <w:rPr>
          <w:rFonts w:cs="Times New Roman"/>
          <w:szCs w:val="24"/>
        </w:rPr>
        <w:tab/>
      </w:r>
      <w:r w:rsidR="00554631">
        <w:rPr>
          <w:rFonts w:cs="Times New Roman"/>
          <w:szCs w:val="24"/>
        </w:rPr>
        <w:t>The Expertise-Market vector is more problematic, particularly since the mid-1990s end of astoundingly high inflation, long the plausible rationale for the BNDES’ dominance of financing for long-term investment in Brazi</w:t>
      </w:r>
      <w:r w:rsidR="00982D7D">
        <w:rPr>
          <w:rFonts w:cs="Times New Roman"/>
          <w:szCs w:val="24"/>
        </w:rPr>
        <w:t>l. Nearly two decades later, Brazil’s</w:t>
      </w:r>
      <w:r w:rsidR="00554631">
        <w:rPr>
          <w:rFonts w:cs="Times New Roman"/>
          <w:szCs w:val="24"/>
        </w:rPr>
        <w:t xml:space="preserve"> private financial sector</w:t>
      </w:r>
      <w:r w:rsidR="004D311D">
        <w:rPr>
          <w:rFonts w:cs="Times New Roman"/>
          <w:szCs w:val="24"/>
        </w:rPr>
        <w:t>, whi</w:t>
      </w:r>
      <w:r w:rsidR="00982D7D">
        <w:rPr>
          <w:rFonts w:cs="Times New Roman"/>
          <w:szCs w:val="24"/>
        </w:rPr>
        <w:t xml:space="preserve">ch benefits from on-lending, </w:t>
      </w:r>
      <w:r w:rsidR="004D311D">
        <w:rPr>
          <w:rFonts w:cs="Times New Roman"/>
          <w:szCs w:val="24"/>
        </w:rPr>
        <w:t>co</w:t>
      </w:r>
      <w:r w:rsidR="005749BA">
        <w:rPr>
          <w:rFonts w:cs="Times New Roman"/>
          <w:szCs w:val="24"/>
        </w:rPr>
        <w:t>-</w:t>
      </w:r>
      <w:r w:rsidR="004D311D">
        <w:rPr>
          <w:rFonts w:cs="Times New Roman"/>
          <w:szCs w:val="24"/>
        </w:rPr>
        <w:t>financing</w:t>
      </w:r>
      <w:r w:rsidR="00982D7D">
        <w:rPr>
          <w:rFonts w:cs="Times New Roman"/>
          <w:szCs w:val="24"/>
        </w:rPr>
        <w:t>, and securities markets support</w:t>
      </w:r>
      <w:r w:rsidR="004D311D">
        <w:rPr>
          <w:rFonts w:cs="Times New Roman"/>
          <w:szCs w:val="24"/>
        </w:rPr>
        <w:t xml:space="preserve"> </w:t>
      </w:r>
      <w:r w:rsidR="00982D7D">
        <w:rPr>
          <w:rFonts w:cs="Times New Roman"/>
          <w:szCs w:val="24"/>
        </w:rPr>
        <w:t xml:space="preserve">coming from </w:t>
      </w:r>
      <w:r w:rsidR="004D311D">
        <w:rPr>
          <w:rFonts w:cs="Times New Roman"/>
          <w:szCs w:val="24"/>
        </w:rPr>
        <w:t>the national development bank,</w:t>
      </w:r>
      <w:r w:rsidR="00554631">
        <w:rPr>
          <w:rFonts w:cs="Times New Roman"/>
          <w:szCs w:val="24"/>
        </w:rPr>
        <w:t xml:space="preserve"> is comfortable with its relationship with the </w:t>
      </w:r>
      <w:r w:rsidR="004D311D">
        <w:rPr>
          <w:rFonts w:cs="Times New Roman"/>
          <w:szCs w:val="24"/>
        </w:rPr>
        <w:t>BNDES</w:t>
      </w:r>
      <w:r w:rsidR="00982D7D">
        <w:rPr>
          <w:rFonts w:cs="Times New Roman"/>
          <w:szCs w:val="24"/>
        </w:rPr>
        <w:t xml:space="preserve">. But whether the BNDES’ dominance is good for financial market functioning (as opposed to the profits of financial institutions) is less clear. </w:t>
      </w:r>
      <w:r w:rsidR="000F779C">
        <w:rPr>
          <w:rFonts w:cs="Times New Roman"/>
          <w:szCs w:val="24"/>
        </w:rPr>
        <w:t>The BNDES’ role in public finance is also ambi</w:t>
      </w:r>
      <w:r w:rsidR="007041B5">
        <w:rPr>
          <w:rFonts w:cs="Times New Roman"/>
          <w:szCs w:val="24"/>
        </w:rPr>
        <w:t xml:space="preserve">guous: for </w:t>
      </w:r>
      <w:r w:rsidR="007041B5">
        <w:rPr>
          <w:rFonts w:cs="Times New Roman"/>
          <w:szCs w:val="24"/>
        </w:rPr>
        <w:lastRenderedPageBreak/>
        <w:t xml:space="preserve">example, </w:t>
      </w:r>
      <w:r w:rsidR="000F779C">
        <w:rPr>
          <w:rFonts w:cs="Times New Roman"/>
          <w:szCs w:val="24"/>
        </w:rPr>
        <w:t xml:space="preserve">journalists recently decried a large loan to the state electricity firm, </w:t>
      </w:r>
      <w:proofErr w:type="spellStart"/>
      <w:r w:rsidR="000F779C">
        <w:rPr>
          <w:rFonts w:cs="Times New Roman"/>
          <w:szCs w:val="24"/>
        </w:rPr>
        <w:t>Eletrobras</w:t>
      </w:r>
      <w:proofErr w:type="spellEnd"/>
      <w:r w:rsidR="000F779C">
        <w:rPr>
          <w:rFonts w:cs="Times New Roman"/>
          <w:szCs w:val="24"/>
        </w:rPr>
        <w:t>, whose timing suggested that it would be used to pay stock dividends—</w:t>
      </w:r>
      <w:r w:rsidR="007041B5">
        <w:rPr>
          <w:rFonts w:cs="Times New Roman"/>
          <w:szCs w:val="24"/>
        </w:rPr>
        <w:t xml:space="preserve">including </w:t>
      </w:r>
      <w:r w:rsidR="000F779C">
        <w:rPr>
          <w:rFonts w:cs="Times New Roman"/>
          <w:szCs w:val="24"/>
        </w:rPr>
        <w:t xml:space="preserve">to </w:t>
      </w:r>
      <w:r w:rsidR="007041B5">
        <w:rPr>
          <w:rFonts w:cs="Times New Roman"/>
          <w:szCs w:val="24"/>
        </w:rPr>
        <w:t xml:space="preserve">both </w:t>
      </w:r>
      <w:r w:rsidR="000F779C">
        <w:rPr>
          <w:rFonts w:cs="Times New Roman"/>
          <w:szCs w:val="24"/>
        </w:rPr>
        <w:t xml:space="preserve">the BNDES and central government—thus serving as “creative accounting” to improve the look of public finances (Campos 2013). </w:t>
      </w:r>
      <w:r w:rsidRPr="000A58DA">
        <w:rPr>
          <w:rFonts w:cs="Times New Roman"/>
          <w:szCs w:val="24"/>
        </w:rPr>
        <w:t xml:space="preserve">There is </w:t>
      </w:r>
      <w:r w:rsidR="005613DC">
        <w:rPr>
          <w:rFonts w:cs="Times New Roman"/>
          <w:szCs w:val="24"/>
        </w:rPr>
        <w:t>a clear bifurcation between those</w:t>
      </w:r>
      <w:r w:rsidR="000F779C">
        <w:rPr>
          <w:rFonts w:cs="Times New Roman"/>
          <w:szCs w:val="24"/>
        </w:rPr>
        <w:t>, mostly on the center-right,</w:t>
      </w:r>
      <w:r w:rsidR="005613DC">
        <w:rPr>
          <w:rFonts w:cs="Times New Roman"/>
          <w:szCs w:val="24"/>
        </w:rPr>
        <w:t xml:space="preserve"> who </w:t>
      </w:r>
      <w:r w:rsidRPr="000A58DA">
        <w:rPr>
          <w:rFonts w:cs="Times New Roman"/>
          <w:szCs w:val="24"/>
        </w:rPr>
        <w:t xml:space="preserve">would oblige the BNDES to rely on increasing </w:t>
      </w:r>
      <w:r w:rsidR="007041B5">
        <w:rPr>
          <w:rFonts w:cs="Times New Roman"/>
          <w:szCs w:val="24"/>
        </w:rPr>
        <w:t xml:space="preserve">shares of market financing, consequently </w:t>
      </w:r>
      <w:r w:rsidRPr="000A58DA">
        <w:rPr>
          <w:rFonts w:cs="Times New Roman"/>
          <w:szCs w:val="24"/>
        </w:rPr>
        <w:t xml:space="preserve"> shrinking its activities, and those of the center-left, </w:t>
      </w:r>
      <w:r w:rsidR="004A7216">
        <w:rPr>
          <w:rFonts w:cs="Times New Roman"/>
          <w:szCs w:val="24"/>
        </w:rPr>
        <w:t xml:space="preserve">including </w:t>
      </w:r>
      <w:r w:rsidR="004A7216" w:rsidRPr="000A58DA">
        <w:rPr>
          <w:rFonts w:cs="Times New Roman"/>
          <w:szCs w:val="24"/>
        </w:rPr>
        <w:t xml:space="preserve">incumbent President </w:t>
      </w:r>
      <w:proofErr w:type="spellStart"/>
      <w:r w:rsidR="004A7216" w:rsidRPr="000A58DA">
        <w:rPr>
          <w:rFonts w:cs="Times New Roman"/>
          <w:szCs w:val="24"/>
        </w:rPr>
        <w:t>Dilma</w:t>
      </w:r>
      <w:proofErr w:type="spellEnd"/>
      <w:r w:rsidR="004A7216" w:rsidRPr="000A58DA">
        <w:rPr>
          <w:rFonts w:cs="Times New Roman"/>
          <w:szCs w:val="24"/>
        </w:rPr>
        <w:t xml:space="preserve"> </w:t>
      </w:r>
      <w:proofErr w:type="spellStart"/>
      <w:r w:rsidR="004A7216" w:rsidRPr="000A58DA">
        <w:rPr>
          <w:rFonts w:cs="Times New Roman"/>
          <w:szCs w:val="24"/>
        </w:rPr>
        <w:t>Rousseff</w:t>
      </w:r>
      <w:proofErr w:type="spellEnd"/>
      <w:r w:rsidR="004A7216">
        <w:rPr>
          <w:rFonts w:cs="Times New Roman"/>
          <w:szCs w:val="24"/>
        </w:rPr>
        <w:t>,</w:t>
      </w:r>
      <w:r w:rsidR="004A7216" w:rsidRPr="000A58DA">
        <w:rPr>
          <w:rFonts w:cs="Times New Roman"/>
          <w:szCs w:val="24"/>
        </w:rPr>
        <w:t xml:space="preserve"> </w:t>
      </w:r>
      <w:r w:rsidRPr="000A58DA">
        <w:rPr>
          <w:rFonts w:cs="Times New Roman"/>
          <w:szCs w:val="24"/>
        </w:rPr>
        <w:t xml:space="preserve">who remain extremely proud of the BNDES’ accomplishments—and of its size </w:t>
      </w:r>
      <w:r w:rsidRPr="000A58DA">
        <w:rPr>
          <w:rFonts w:cs="Times New Roman"/>
          <w:i/>
          <w:szCs w:val="24"/>
        </w:rPr>
        <w:t>per se</w:t>
      </w:r>
      <w:r w:rsidRPr="000A58DA">
        <w:rPr>
          <w:rFonts w:cs="Times New Roman"/>
          <w:szCs w:val="24"/>
        </w:rPr>
        <w:t xml:space="preserve">. </w:t>
      </w:r>
    </w:p>
    <w:p w:rsidR="00E363D4" w:rsidRPr="000A58DA" w:rsidRDefault="00D84DF4" w:rsidP="00081943">
      <w:pPr>
        <w:spacing w:line="480" w:lineRule="auto"/>
        <w:rPr>
          <w:rFonts w:cs="Times New Roman"/>
          <w:szCs w:val="24"/>
        </w:rPr>
      </w:pPr>
      <w:r w:rsidRPr="000A58DA">
        <w:rPr>
          <w:rFonts w:cs="Times New Roman"/>
          <w:szCs w:val="24"/>
        </w:rPr>
        <w:tab/>
      </w:r>
      <w:r w:rsidR="00E16585">
        <w:rPr>
          <w:rFonts w:cs="Times New Roman"/>
          <w:szCs w:val="24"/>
        </w:rPr>
        <w:t xml:space="preserve">Nonetheless, there </w:t>
      </w:r>
      <w:r w:rsidR="000F779C">
        <w:rPr>
          <w:rFonts w:cs="Times New Roman"/>
          <w:szCs w:val="24"/>
        </w:rPr>
        <w:t xml:space="preserve">are extensive </w:t>
      </w:r>
      <w:r w:rsidR="004A7216">
        <w:rPr>
          <w:rFonts w:cs="Times New Roman"/>
          <w:szCs w:val="24"/>
        </w:rPr>
        <w:t xml:space="preserve">areas of new </w:t>
      </w:r>
      <w:proofErr w:type="spellStart"/>
      <w:r w:rsidR="004A7216">
        <w:rPr>
          <w:rFonts w:cs="Times New Roman"/>
          <w:szCs w:val="24"/>
        </w:rPr>
        <w:t>d</w:t>
      </w:r>
      <w:r w:rsidRPr="000A58DA">
        <w:rPr>
          <w:rFonts w:cs="Times New Roman"/>
          <w:szCs w:val="24"/>
        </w:rPr>
        <w:t>evelopmentalist</w:t>
      </w:r>
      <w:proofErr w:type="spellEnd"/>
      <w:r w:rsidRPr="000A58DA">
        <w:rPr>
          <w:rFonts w:cs="Times New Roman"/>
          <w:szCs w:val="24"/>
        </w:rPr>
        <w:t xml:space="preserve"> agreement across most partisan divides in contemporary Brazil</w:t>
      </w:r>
      <w:r w:rsidR="0076730A">
        <w:rPr>
          <w:rFonts w:cs="Times New Roman"/>
          <w:szCs w:val="24"/>
        </w:rPr>
        <w:t xml:space="preserve">, and weak economic and industrial growth rates in Brazil under the </w:t>
      </w:r>
      <w:proofErr w:type="spellStart"/>
      <w:r w:rsidR="0076730A">
        <w:rPr>
          <w:rFonts w:cs="Times New Roman"/>
          <w:szCs w:val="24"/>
        </w:rPr>
        <w:t>Rousseff</w:t>
      </w:r>
      <w:proofErr w:type="spellEnd"/>
      <w:r w:rsidR="0076730A">
        <w:rPr>
          <w:rFonts w:cs="Times New Roman"/>
          <w:szCs w:val="24"/>
        </w:rPr>
        <w:t xml:space="preserve"> government have sharpened the debate (see also Peter </w:t>
      </w:r>
      <w:proofErr w:type="spellStart"/>
      <w:r w:rsidR="0076730A">
        <w:rPr>
          <w:rFonts w:cs="Times New Roman"/>
          <w:szCs w:val="24"/>
        </w:rPr>
        <w:t>Kingstone’s</w:t>
      </w:r>
      <w:proofErr w:type="spellEnd"/>
      <w:r w:rsidR="0076730A">
        <w:rPr>
          <w:rFonts w:cs="Times New Roman"/>
          <w:szCs w:val="24"/>
        </w:rPr>
        <w:t xml:space="preserve"> chapter in this volume). Still, t</w:t>
      </w:r>
      <w:r w:rsidRPr="000A58DA">
        <w:rPr>
          <w:rFonts w:cs="Times New Roman"/>
          <w:szCs w:val="24"/>
        </w:rPr>
        <w:t>he differences that loom large from</w:t>
      </w:r>
      <w:r w:rsidR="00293A77">
        <w:rPr>
          <w:rFonts w:cs="Times New Roman"/>
          <w:szCs w:val="24"/>
        </w:rPr>
        <w:t xml:space="preserve"> within the country appear </w:t>
      </w:r>
      <w:r w:rsidRPr="000A58DA">
        <w:rPr>
          <w:rFonts w:cs="Times New Roman"/>
          <w:szCs w:val="24"/>
        </w:rPr>
        <w:t>modest from outside. No poli</w:t>
      </w:r>
      <w:r w:rsidR="00293A77">
        <w:rPr>
          <w:rFonts w:cs="Times New Roman"/>
          <w:szCs w:val="24"/>
        </w:rPr>
        <w:t xml:space="preserve">tician </w:t>
      </w:r>
      <w:r w:rsidRPr="000A58DA">
        <w:rPr>
          <w:rFonts w:cs="Times New Roman"/>
          <w:szCs w:val="24"/>
        </w:rPr>
        <w:t xml:space="preserve">with a realistic opportunity </w:t>
      </w:r>
      <w:r w:rsidR="00293A77">
        <w:rPr>
          <w:rFonts w:cs="Times New Roman"/>
          <w:szCs w:val="24"/>
        </w:rPr>
        <w:t>to capture national policy</w:t>
      </w:r>
      <w:r w:rsidRPr="000A58DA">
        <w:rPr>
          <w:rFonts w:cs="Times New Roman"/>
          <w:szCs w:val="24"/>
        </w:rPr>
        <w:t xml:space="preserve"> influence wants to attack or attenuate private property rights: </w:t>
      </w:r>
      <w:r w:rsidR="00E16585">
        <w:rPr>
          <w:rFonts w:cs="Times New Roman"/>
          <w:szCs w:val="24"/>
        </w:rPr>
        <w:t xml:space="preserve">all agree </w:t>
      </w:r>
      <w:r w:rsidRPr="000A58DA">
        <w:rPr>
          <w:rFonts w:cs="Times New Roman"/>
          <w:szCs w:val="24"/>
        </w:rPr>
        <w:t>t</w:t>
      </w:r>
      <w:r w:rsidR="00293A77">
        <w:rPr>
          <w:rFonts w:cs="Times New Roman"/>
          <w:szCs w:val="24"/>
        </w:rPr>
        <w:t xml:space="preserve">hat capitalism promotes </w:t>
      </w:r>
      <w:r w:rsidRPr="000A58DA">
        <w:rPr>
          <w:rFonts w:cs="Times New Roman"/>
          <w:szCs w:val="24"/>
        </w:rPr>
        <w:t xml:space="preserve">growth. Yet neither are there influential voices raised that would </w:t>
      </w:r>
      <w:r w:rsidR="00C556FC">
        <w:rPr>
          <w:rFonts w:cs="Times New Roman"/>
          <w:szCs w:val="24"/>
        </w:rPr>
        <w:t xml:space="preserve">radically </w:t>
      </w:r>
      <w:r w:rsidRPr="000A58DA">
        <w:rPr>
          <w:rFonts w:cs="Times New Roman"/>
          <w:szCs w:val="24"/>
        </w:rPr>
        <w:t xml:space="preserve">dismantle the extensive apparatus of state credit and investment. </w:t>
      </w:r>
      <w:r w:rsidR="00DB1F65">
        <w:rPr>
          <w:rFonts w:cs="Times New Roman"/>
          <w:szCs w:val="24"/>
        </w:rPr>
        <w:t>Overall, t</w:t>
      </w:r>
      <w:r w:rsidR="009F7B86" w:rsidRPr="000A58DA">
        <w:rPr>
          <w:rFonts w:cs="Times New Roman"/>
          <w:szCs w:val="24"/>
        </w:rPr>
        <w:t xml:space="preserve">he underlying national </w:t>
      </w:r>
      <w:r w:rsidR="00E16585">
        <w:rPr>
          <w:rFonts w:cs="Times New Roman"/>
          <w:szCs w:val="24"/>
        </w:rPr>
        <w:t xml:space="preserve">consensus </w:t>
      </w:r>
      <w:r w:rsidR="009F7B86" w:rsidRPr="000A58DA">
        <w:rPr>
          <w:rFonts w:cs="Times New Roman"/>
          <w:szCs w:val="24"/>
        </w:rPr>
        <w:t xml:space="preserve">on an activist state </w:t>
      </w:r>
      <w:r w:rsidR="00C556FC">
        <w:rPr>
          <w:rFonts w:cs="Times New Roman"/>
          <w:szCs w:val="24"/>
        </w:rPr>
        <w:t xml:space="preserve">as the best option for achieving </w:t>
      </w:r>
      <w:r w:rsidR="009F7B86" w:rsidRPr="000A58DA">
        <w:rPr>
          <w:rFonts w:cs="Times New Roman"/>
          <w:szCs w:val="24"/>
        </w:rPr>
        <w:t>rapid growth is unlikely to falter</w:t>
      </w:r>
      <w:r w:rsidR="0066142C" w:rsidRPr="000A58DA">
        <w:rPr>
          <w:rFonts w:cs="Times New Roman"/>
          <w:szCs w:val="24"/>
        </w:rPr>
        <w:t xml:space="preserve">, except in the presence of a major economic crisis—which is just the sort of situation that proponents of Brazil’s ND and a strong BNDES believe themselves </w:t>
      </w:r>
      <w:r w:rsidR="001631C4" w:rsidRPr="000A58DA">
        <w:rPr>
          <w:rFonts w:cs="Times New Roman"/>
          <w:szCs w:val="24"/>
        </w:rPr>
        <w:t xml:space="preserve">uniquely </w:t>
      </w:r>
      <w:r w:rsidR="0066142C" w:rsidRPr="000A58DA">
        <w:rPr>
          <w:rFonts w:cs="Times New Roman"/>
          <w:szCs w:val="24"/>
        </w:rPr>
        <w:t>well-equipped to handle.</w:t>
      </w:r>
      <w:r w:rsidR="00DB1F65">
        <w:rPr>
          <w:rFonts w:cs="Times New Roman"/>
          <w:szCs w:val="24"/>
        </w:rPr>
        <w:t xml:space="preserve"> </w:t>
      </w:r>
      <w:r w:rsidR="0066142C" w:rsidRPr="000A58DA">
        <w:rPr>
          <w:rFonts w:cs="Times New Roman"/>
          <w:szCs w:val="24"/>
        </w:rPr>
        <w:t xml:space="preserve">The implicit model </w:t>
      </w:r>
      <w:r w:rsidR="0076730A">
        <w:rPr>
          <w:rFonts w:cs="Times New Roman"/>
          <w:szCs w:val="24"/>
        </w:rPr>
        <w:t xml:space="preserve">of state-led capitalism </w:t>
      </w:r>
      <w:r w:rsidR="0066142C" w:rsidRPr="000A58DA">
        <w:rPr>
          <w:rFonts w:cs="Times New Roman"/>
          <w:szCs w:val="24"/>
        </w:rPr>
        <w:t xml:space="preserve">looks likely to continue to guide </w:t>
      </w:r>
      <w:r w:rsidR="001631C4" w:rsidRPr="000A58DA">
        <w:rPr>
          <w:rFonts w:cs="Times New Roman"/>
          <w:szCs w:val="24"/>
        </w:rPr>
        <w:t xml:space="preserve">Brazilian </w:t>
      </w:r>
      <w:r w:rsidR="0066142C" w:rsidRPr="000A58DA">
        <w:rPr>
          <w:rFonts w:cs="Times New Roman"/>
          <w:szCs w:val="24"/>
        </w:rPr>
        <w:t>public po</w:t>
      </w:r>
      <w:r w:rsidR="00DB1F65">
        <w:rPr>
          <w:rFonts w:cs="Times New Roman"/>
          <w:szCs w:val="24"/>
        </w:rPr>
        <w:t>licy for the foreseeable future.</w:t>
      </w:r>
    </w:p>
    <w:p w:rsidR="00D558B5" w:rsidRPr="000A58DA" w:rsidRDefault="00D558B5" w:rsidP="00081943">
      <w:pPr>
        <w:spacing w:line="480" w:lineRule="auto"/>
        <w:rPr>
          <w:rFonts w:cs="Times New Roman"/>
          <w:szCs w:val="24"/>
        </w:rPr>
      </w:pPr>
    </w:p>
    <w:p w:rsidR="0001623A" w:rsidRPr="007B5E95" w:rsidRDefault="0001623A" w:rsidP="00081943">
      <w:pPr>
        <w:spacing w:line="480" w:lineRule="auto"/>
        <w:rPr>
          <w:rFonts w:cs="Times New Roman"/>
          <w:b/>
          <w:szCs w:val="24"/>
        </w:rPr>
      </w:pPr>
    </w:p>
    <w:p w:rsidR="004A7216" w:rsidRDefault="004A7216" w:rsidP="00081943">
      <w:pPr>
        <w:spacing w:line="480" w:lineRule="auto"/>
        <w:rPr>
          <w:rFonts w:cs="Times New Roman"/>
          <w:szCs w:val="24"/>
        </w:rPr>
      </w:pPr>
      <w:r>
        <w:rPr>
          <w:rFonts w:cs="Times New Roman"/>
          <w:szCs w:val="24"/>
        </w:rPr>
        <w:br w:type="page"/>
      </w:r>
    </w:p>
    <w:p w:rsidR="00151BCF" w:rsidRPr="000A58DA" w:rsidRDefault="00151BCF" w:rsidP="00081943">
      <w:pPr>
        <w:spacing w:line="480" w:lineRule="auto"/>
        <w:rPr>
          <w:rFonts w:cs="Times New Roman"/>
          <w:b/>
          <w:szCs w:val="24"/>
        </w:rPr>
      </w:pPr>
      <w:r w:rsidRPr="000A58DA">
        <w:rPr>
          <w:rFonts w:cs="Times New Roman"/>
          <w:b/>
          <w:szCs w:val="24"/>
        </w:rPr>
        <w:lastRenderedPageBreak/>
        <w:t>References</w:t>
      </w:r>
    </w:p>
    <w:p w:rsidR="00151BCF" w:rsidRPr="000A58DA" w:rsidRDefault="000F0D08" w:rsidP="000F0D08">
      <w:pPr>
        <w:autoSpaceDE w:val="0"/>
        <w:autoSpaceDN w:val="0"/>
        <w:adjustRightInd w:val="0"/>
        <w:spacing w:line="480" w:lineRule="auto"/>
        <w:ind w:left="432" w:hanging="432"/>
        <w:rPr>
          <w:rFonts w:cs="Times New Roman"/>
          <w:szCs w:val="24"/>
        </w:rPr>
      </w:pPr>
      <w:proofErr w:type="spellStart"/>
      <w:r>
        <w:rPr>
          <w:rFonts w:cs="Times New Roman"/>
          <w:szCs w:val="24"/>
        </w:rPr>
        <w:t>Aghion</w:t>
      </w:r>
      <w:proofErr w:type="spellEnd"/>
      <w:r>
        <w:rPr>
          <w:rFonts w:cs="Times New Roman"/>
          <w:szCs w:val="24"/>
        </w:rPr>
        <w:t>, B. 1999. “Development Banking.”</w:t>
      </w:r>
      <w:r w:rsidR="00151BCF" w:rsidRPr="000A58DA">
        <w:rPr>
          <w:rFonts w:cs="Times New Roman"/>
          <w:szCs w:val="24"/>
        </w:rPr>
        <w:t xml:space="preserve"> </w:t>
      </w:r>
      <w:r w:rsidR="00151BCF" w:rsidRPr="000A58DA">
        <w:rPr>
          <w:rFonts w:cs="Times New Roman"/>
          <w:i/>
          <w:iCs/>
          <w:szCs w:val="24"/>
        </w:rPr>
        <w:t>Journal of Development Economics</w:t>
      </w:r>
      <w:r w:rsidR="00151BCF" w:rsidRPr="000A58DA">
        <w:rPr>
          <w:rFonts w:cs="Times New Roman"/>
          <w:szCs w:val="24"/>
        </w:rPr>
        <w:t>, 58, pp. 83–100.</w:t>
      </w:r>
    </w:p>
    <w:p w:rsidR="00151BCF" w:rsidRPr="000A58DA" w:rsidRDefault="000F0D08" w:rsidP="000F0D08">
      <w:pPr>
        <w:autoSpaceDE w:val="0"/>
        <w:autoSpaceDN w:val="0"/>
        <w:adjustRightInd w:val="0"/>
        <w:spacing w:line="480" w:lineRule="auto"/>
        <w:ind w:left="432" w:hanging="432"/>
        <w:rPr>
          <w:rFonts w:cs="Times New Roman"/>
          <w:szCs w:val="24"/>
        </w:rPr>
      </w:pPr>
      <w:r>
        <w:rPr>
          <w:rFonts w:cs="Times New Roman"/>
          <w:szCs w:val="24"/>
        </w:rPr>
        <w:t>Allen, F. and D. Gale. 2000.</w:t>
      </w:r>
      <w:r w:rsidR="00151BCF" w:rsidRPr="000A58DA">
        <w:rPr>
          <w:rFonts w:cs="Times New Roman"/>
          <w:szCs w:val="24"/>
        </w:rPr>
        <w:t xml:space="preserve"> </w:t>
      </w:r>
      <w:r w:rsidR="00151BCF" w:rsidRPr="000A58DA">
        <w:rPr>
          <w:rFonts w:cs="Times New Roman"/>
          <w:i/>
          <w:iCs/>
          <w:szCs w:val="24"/>
        </w:rPr>
        <w:t>Comparing Financial Systems</w:t>
      </w:r>
      <w:r>
        <w:rPr>
          <w:rFonts w:cs="Times New Roman"/>
          <w:i/>
          <w:iCs/>
          <w:szCs w:val="24"/>
        </w:rPr>
        <w:t>.</w:t>
      </w:r>
      <w:r w:rsidR="00151BCF" w:rsidRPr="000A58DA">
        <w:rPr>
          <w:rFonts w:cs="Times New Roman"/>
          <w:i/>
          <w:iCs/>
          <w:szCs w:val="24"/>
        </w:rPr>
        <w:t xml:space="preserve"> </w:t>
      </w:r>
      <w:r>
        <w:rPr>
          <w:rFonts w:cs="Times New Roman"/>
          <w:szCs w:val="24"/>
        </w:rPr>
        <w:t>Cambridge, MA: MIT Press</w:t>
      </w:r>
      <w:r w:rsidR="00151BCF" w:rsidRPr="000A58DA">
        <w:rPr>
          <w:rFonts w:cs="Times New Roman"/>
          <w:szCs w:val="24"/>
        </w:rPr>
        <w:t>.</w:t>
      </w:r>
    </w:p>
    <w:p w:rsidR="00151BCF" w:rsidRPr="000A58DA" w:rsidRDefault="00151BCF" w:rsidP="000F0D08">
      <w:pPr>
        <w:autoSpaceDE w:val="0"/>
        <w:autoSpaceDN w:val="0"/>
        <w:adjustRightInd w:val="0"/>
        <w:spacing w:line="480" w:lineRule="auto"/>
        <w:ind w:left="432" w:hanging="432"/>
        <w:rPr>
          <w:rFonts w:cs="Times New Roman"/>
          <w:szCs w:val="24"/>
        </w:rPr>
      </w:pPr>
      <w:r w:rsidRPr="000A58DA">
        <w:rPr>
          <w:rFonts w:cs="Times New Roman"/>
          <w:i/>
          <w:szCs w:val="24"/>
        </w:rPr>
        <w:t xml:space="preserve">Amazon Watch. </w:t>
      </w:r>
      <w:r w:rsidRPr="000A58DA">
        <w:rPr>
          <w:rFonts w:cs="Times New Roman"/>
          <w:szCs w:val="24"/>
        </w:rPr>
        <w:t>2012. “Amazon: Financing Ignores Violations of Human Rights and Environmental Safeguards,” November 28. At: www.amazonwatch.org</w:t>
      </w:r>
    </w:p>
    <w:p w:rsidR="00151BCF" w:rsidRPr="000A58DA" w:rsidRDefault="00151BCF" w:rsidP="000F0D08">
      <w:pPr>
        <w:autoSpaceDE w:val="0"/>
        <w:autoSpaceDN w:val="0"/>
        <w:adjustRightInd w:val="0"/>
        <w:spacing w:line="480" w:lineRule="auto"/>
        <w:ind w:left="432" w:hanging="432"/>
        <w:rPr>
          <w:rFonts w:cs="Times New Roman"/>
          <w:szCs w:val="24"/>
        </w:rPr>
      </w:pPr>
      <w:proofErr w:type="spellStart"/>
      <w:r w:rsidRPr="000A58DA">
        <w:rPr>
          <w:rFonts w:cs="Times New Roman"/>
          <w:szCs w:val="24"/>
        </w:rPr>
        <w:t>Arida</w:t>
      </w:r>
      <w:proofErr w:type="spellEnd"/>
      <w:r w:rsidRPr="000A58DA">
        <w:rPr>
          <w:rFonts w:cs="Times New Roman"/>
          <w:szCs w:val="24"/>
        </w:rPr>
        <w:t xml:space="preserve">, </w:t>
      </w:r>
      <w:proofErr w:type="spellStart"/>
      <w:r w:rsidRPr="000A58DA">
        <w:rPr>
          <w:rFonts w:cs="Times New Roman"/>
          <w:szCs w:val="24"/>
        </w:rPr>
        <w:t>Pérsio</w:t>
      </w:r>
      <w:proofErr w:type="spellEnd"/>
      <w:r w:rsidRPr="000A58DA">
        <w:rPr>
          <w:rFonts w:cs="Times New Roman"/>
          <w:szCs w:val="24"/>
        </w:rPr>
        <w:t xml:space="preserve">. 2005. </w:t>
      </w:r>
      <w:proofErr w:type="spellStart"/>
      <w:r w:rsidRPr="000A58DA">
        <w:rPr>
          <w:rFonts w:cs="Times New Roman"/>
          <w:i/>
          <w:iCs/>
          <w:szCs w:val="24"/>
        </w:rPr>
        <w:t>Mecanismos</w:t>
      </w:r>
      <w:proofErr w:type="spellEnd"/>
      <w:r w:rsidRPr="000A58DA">
        <w:rPr>
          <w:rFonts w:cs="Times New Roman"/>
          <w:i/>
          <w:iCs/>
          <w:szCs w:val="24"/>
        </w:rPr>
        <w:t xml:space="preserve"> </w:t>
      </w:r>
      <w:proofErr w:type="spellStart"/>
      <w:r w:rsidRPr="000A58DA">
        <w:rPr>
          <w:rFonts w:cs="Times New Roman"/>
          <w:i/>
          <w:iCs/>
          <w:szCs w:val="24"/>
        </w:rPr>
        <w:t>Compulsórios</w:t>
      </w:r>
      <w:proofErr w:type="spellEnd"/>
      <w:r w:rsidRPr="000A58DA">
        <w:rPr>
          <w:rFonts w:cs="Times New Roman"/>
          <w:i/>
          <w:iCs/>
          <w:szCs w:val="24"/>
        </w:rPr>
        <w:t xml:space="preserve"> e </w:t>
      </w:r>
      <w:proofErr w:type="spellStart"/>
      <w:r w:rsidRPr="000A58DA">
        <w:rPr>
          <w:rFonts w:cs="Times New Roman"/>
          <w:i/>
          <w:iCs/>
          <w:szCs w:val="24"/>
        </w:rPr>
        <w:t>Mercados</w:t>
      </w:r>
      <w:proofErr w:type="spellEnd"/>
      <w:r w:rsidRPr="000A58DA">
        <w:rPr>
          <w:rFonts w:cs="Times New Roman"/>
          <w:i/>
          <w:iCs/>
          <w:szCs w:val="24"/>
        </w:rPr>
        <w:t xml:space="preserve"> de </w:t>
      </w:r>
      <w:proofErr w:type="spellStart"/>
      <w:r w:rsidRPr="000A58DA">
        <w:rPr>
          <w:rFonts w:cs="Times New Roman"/>
          <w:i/>
          <w:iCs/>
          <w:szCs w:val="24"/>
        </w:rPr>
        <w:t>Capitais</w:t>
      </w:r>
      <w:proofErr w:type="spellEnd"/>
      <w:r w:rsidRPr="000A58DA">
        <w:rPr>
          <w:rFonts w:cs="Times New Roman"/>
          <w:i/>
          <w:iCs/>
          <w:szCs w:val="24"/>
        </w:rPr>
        <w:t xml:space="preserve">: </w:t>
      </w:r>
      <w:proofErr w:type="spellStart"/>
      <w:r w:rsidRPr="000A58DA">
        <w:rPr>
          <w:rFonts w:cs="Times New Roman"/>
          <w:i/>
          <w:iCs/>
          <w:szCs w:val="24"/>
        </w:rPr>
        <w:t>Propostas</w:t>
      </w:r>
      <w:proofErr w:type="spellEnd"/>
      <w:r w:rsidRPr="000A58DA">
        <w:rPr>
          <w:rFonts w:cs="Times New Roman"/>
          <w:i/>
          <w:iCs/>
          <w:szCs w:val="24"/>
        </w:rPr>
        <w:t xml:space="preserve"> de </w:t>
      </w:r>
      <w:proofErr w:type="spellStart"/>
      <w:r w:rsidRPr="000A58DA">
        <w:rPr>
          <w:rFonts w:cs="Times New Roman"/>
          <w:i/>
          <w:iCs/>
          <w:szCs w:val="24"/>
        </w:rPr>
        <w:t>Política</w:t>
      </w:r>
      <w:proofErr w:type="spellEnd"/>
      <w:r w:rsidRPr="000A58DA">
        <w:rPr>
          <w:rFonts w:cs="Times New Roman"/>
          <w:i/>
          <w:iCs/>
          <w:szCs w:val="24"/>
        </w:rPr>
        <w:t xml:space="preserve"> </w:t>
      </w:r>
      <w:proofErr w:type="spellStart"/>
      <w:r w:rsidRPr="000A58DA">
        <w:rPr>
          <w:rFonts w:cs="Times New Roman"/>
          <w:i/>
          <w:iCs/>
          <w:szCs w:val="24"/>
        </w:rPr>
        <w:t>Econômica</w:t>
      </w:r>
      <w:proofErr w:type="spellEnd"/>
      <w:r w:rsidRPr="000A58DA">
        <w:rPr>
          <w:rFonts w:cs="Times New Roman"/>
          <w:szCs w:val="24"/>
        </w:rPr>
        <w:t xml:space="preserve">, </w:t>
      </w:r>
      <w:proofErr w:type="spellStart"/>
      <w:r w:rsidRPr="000A58DA">
        <w:rPr>
          <w:rFonts w:cs="Times New Roman"/>
          <w:szCs w:val="24"/>
        </w:rPr>
        <w:t>Texto</w:t>
      </w:r>
      <w:proofErr w:type="spellEnd"/>
      <w:r w:rsidRPr="000A58DA">
        <w:rPr>
          <w:rFonts w:cs="Times New Roman"/>
          <w:szCs w:val="24"/>
        </w:rPr>
        <w:t xml:space="preserve"> </w:t>
      </w:r>
      <w:proofErr w:type="spellStart"/>
      <w:r w:rsidRPr="000A58DA">
        <w:rPr>
          <w:rFonts w:cs="Times New Roman"/>
          <w:szCs w:val="24"/>
        </w:rPr>
        <w:t>para</w:t>
      </w:r>
      <w:proofErr w:type="spellEnd"/>
      <w:r w:rsidRPr="000A58DA">
        <w:rPr>
          <w:rFonts w:cs="Times New Roman"/>
          <w:szCs w:val="24"/>
        </w:rPr>
        <w:t xml:space="preserve"> </w:t>
      </w:r>
      <w:proofErr w:type="spellStart"/>
      <w:r w:rsidRPr="000A58DA">
        <w:rPr>
          <w:rFonts w:cs="Times New Roman"/>
          <w:szCs w:val="24"/>
        </w:rPr>
        <w:t>Discussão</w:t>
      </w:r>
      <w:proofErr w:type="spellEnd"/>
      <w:r w:rsidRPr="000A58DA">
        <w:rPr>
          <w:rFonts w:cs="Times New Roman"/>
          <w:szCs w:val="24"/>
        </w:rPr>
        <w:t xml:space="preserve"> 8, </w:t>
      </w:r>
      <w:proofErr w:type="spellStart"/>
      <w:r w:rsidRPr="000A58DA">
        <w:rPr>
          <w:rFonts w:cs="Times New Roman"/>
          <w:szCs w:val="24"/>
        </w:rPr>
        <w:t>Instituto</w:t>
      </w:r>
      <w:proofErr w:type="spellEnd"/>
      <w:r w:rsidRPr="000A58DA">
        <w:rPr>
          <w:rFonts w:cs="Times New Roman"/>
          <w:szCs w:val="24"/>
        </w:rPr>
        <w:t xml:space="preserve"> de </w:t>
      </w:r>
      <w:proofErr w:type="spellStart"/>
      <w:r w:rsidRPr="000A58DA">
        <w:rPr>
          <w:rFonts w:cs="Times New Roman"/>
          <w:szCs w:val="24"/>
        </w:rPr>
        <w:t>Estudos</w:t>
      </w:r>
      <w:proofErr w:type="spellEnd"/>
      <w:r w:rsidRPr="000A58DA">
        <w:rPr>
          <w:rFonts w:cs="Times New Roman"/>
          <w:szCs w:val="24"/>
        </w:rPr>
        <w:t xml:space="preserve"> de </w:t>
      </w:r>
      <w:proofErr w:type="spellStart"/>
      <w:r w:rsidRPr="000A58DA">
        <w:rPr>
          <w:rFonts w:cs="Times New Roman"/>
          <w:szCs w:val="24"/>
        </w:rPr>
        <w:t>Política</w:t>
      </w:r>
      <w:proofErr w:type="spellEnd"/>
      <w:r w:rsidRPr="000A58DA">
        <w:rPr>
          <w:rFonts w:cs="Times New Roman"/>
          <w:szCs w:val="24"/>
        </w:rPr>
        <w:t xml:space="preserve"> </w:t>
      </w:r>
      <w:proofErr w:type="spellStart"/>
      <w:r w:rsidRPr="000A58DA">
        <w:rPr>
          <w:rFonts w:cs="Times New Roman"/>
          <w:szCs w:val="24"/>
        </w:rPr>
        <w:t>Econômica</w:t>
      </w:r>
      <w:proofErr w:type="spellEnd"/>
      <w:r w:rsidRPr="000A58DA">
        <w:rPr>
          <w:rFonts w:cs="Times New Roman"/>
          <w:szCs w:val="24"/>
        </w:rPr>
        <w:t xml:space="preserve">, Casa das </w:t>
      </w:r>
      <w:proofErr w:type="spellStart"/>
      <w:r w:rsidRPr="000A58DA">
        <w:rPr>
          <w:rFonts w:cs="Times New Roman"/>
          <w:szCs w:val="24"/>
        </w:rPr>
        <w:t>Ga</w:t>
      </w:r>
      <w:r w:rsidR="000F0D08">
        <w:rPr>
          <w:rFonts w:cs="Times New Roman"/>
          <w:szCs w:val="24"/>
        </w:rPr>
        <w:t>rças</w:t>
      </w:r>
      <w:proofErr w:type="spellEnd"/>
      <w:r w:rsidR="000F0D08">
        <w:rPr>
          <w:rFonts w:cs="Times New Roman"/>
          <w:szCs w:val="24"/>
        </w:rPr>
        <w:t>, May. Preliminary version a</w:t>
      </w:r>
      <w:r w:rsidRPr="000A58DA">
        <w:rPr>
          <w:rFonts w:cs="Times New Roman"/>
          <w:szCs w:val="24"/>
        </w:rPr>
        <w:t>vailable at:</w:t>
      </w:r>
    </w:p>
    <w:p w:rsidR="00151BCF" w:rsidRPr="000A58DA" w:rsidRDefault="001553BA" w:rsidP="000F0D08">
      <w:pPr>
        <w:autoSpaceDE w:val="0"/>
        <w:autoSpaceDN w:val="0"/>
        <w:adjustRightInd w:val="0"/>
        <w:spacing w:line="480" w:lineRule="auto"/>
        <w:ind w:left="432" w:hanging="432"/>
        <w:rPr>
          <w:rFonts w:cs="Times New Roman"/>
          <w:szCs w:val="24"/>
        </w:rPr>
      </w:pPr>
      <w:hyperlink r:id="rId10" w:history="1">
        <w:r w:rsidR="00151BCF" w:rsidRPr="000A58DA">
          <w:rPr>
            <w:rStyle w:val="Hyperlink"/>
            <w:rFonts w:cs="Times New Roman"/>
            <w:color w:val="auto"/>
            <w:szCs w:val="24"/>
          </w:rPr>
          <w:t>http://www.iepecdg.com.br/Arquivos/Leiturassugeridas/Conversibilidade%20Final%20-%20260604.pdf</w:t>
        </w:r>
      </w:hyperlink>
    </w:p>
    <w:p w:rsidR="00151BCF" w:rsidRPr="000A58DA" w:rsidRDefault="00151BCF" w:rsidP="000F0D08">
      <w:pPr>
        <w:spacing w:line="480" w:lineRule="auto"/>
        <w:ind w:left="432" w:hanging="432"/>
        <w:rPr>
          <w:rFonts w:cs="Times New Roman"/>
          <w:szCs w:val="24"/>
        </w:rPr>
      </w:pPr>
      <w:r w:rsidRPr="000A58DA">
        <w:rPr>
          <w:rFonts w:cs="Times New Roman"/>
          <w:szCs w:val="24"/>
        </w:rPr>
        <w:t xml:space="preserve">Armijo, Leslie Elliott. 1993. "Brazilian Politics and Patterns of </w:t>
      </w:r>
      <w:r w:rsidR="000F0D08">
        <w:rPr>
          <w:rFonts w:cs="Times New Roman"/>
          <w:szCs w:val="24"/>
        </w:rPr>
        <w:t>Financial Regulation, 1950-1991." I</w:t>
      </w:r>
      <w:r w:rsidRPr="000A58DA">
        <w:rPr>
          <w:rFonts w:cs="Times New Roman"/>
          <w:szCs w:val="24"/>
        </w:rPr>
        <w:t xml:space="preserve">n S. Haggard, C. Lee, and S. </w:t>
      </w:r>
      <w:proofErr w:type="spellStart"/>
      <w:r w:rsidRPr="000A58DA">
        <w:rPr>
          <w:rFonts w:cs="Times New Roman"/>
          <w:szCs w:val="24"/>
        </w:rPr>
        <w:t>Maxfield</w:t>
      </w:r>
      <w:proofErr w:type="spellEnd"/>
      <w:r w:rsidRPr="000A58DA">
        <w:rPr>
          <w:rFonts w:cs="Times New Roman"/>
          <w:szCs w:val="24"/>
        </w:rPr>
        <w:t xml:space="preserve">, eds., </w:t>
      </w:r>
      <w:r w:rsidRPr="000A58DA">
        <w:rPr>
          <w:rFonts w:cs="Times New Roman"/>
          <w:i/>
          <w:szCs w:val="24"/>
        </w:rPr>
        <w:t>The Politics of Finance in Developing Countries</w:t>
      </w:r>
      <w:r w:rsidR="000F0D08">
        <w:rPr>
          <w:rFonts w:cs="Times New Roman"/>
          <w:szCs w:val="24"/>
        </w:rPr>
        <w:t>.</w:t>
      </w:r>
      <w:r w:rsidRPr="000A58DA">
        <w:rPr>
          <w:rFonts w:cs="Times New Roman"/>
          <w:szCs w:val="24"/>
        </w:rPr>
        <w:t xml:space="preserve"> Ithaca, New York: Cornell University Press.</w:t>
      </w:r>
    </w:p>
    <w:p w:rsidR="00151BCF" w:rsidRPr="000A58DA" w:rsidRDefault="00151BCF" w:rsidP="000F0D08">
      <w:pPr>
        <w:spacing w:line="480" w:lineRule="auto"/>
        <w:ind w:left="432" w:hanging="432"/>
        <w:rPr>
          <w:rFonts w:cs="Times New Roman"/>
          <w:szCs w:val="24"/>
        </w:rPr>
      </w:pPr>
      <w:r w:rsidRPr="000A58DA">
        <w:rPr>
          <w:rFonts w:cs="Times New Roman"/>
          <w:szCs w:val="24"/>
        </w:rPr>
        <w:t xml:space="preserve">Armijo, Leslie Elliott. 1997. "Brazil: Business-Government Financial Relations </w:t>
      </w:r>
      <w:r w:rsidR="000F0D08">
        <w:rPr>
          <w:rFonts w:cs="Times New Roman"/>
          <w:szCs w:val="24"/>
        </w:rPr>
        <w:t>in the Land of 'Super-Inflation.'" I</w:t>
      </w:r>
      <w:r w:rsidRPr="000A58DA">
        <w:rPr>
          <w:rFonts w:cs="Times New Roman"/>
          <w:szCs w:val="24"/>
        </w:rPr>
        <w:t xml:space="preserve">n R. Bingham and E. W. Hill, eds., </w:t>
      </w:r>
      <w:r w:rsidRPr="000A58DA">
        <w:rPr>
          <w:rFonts w:cs="Times New Roman"/>
          <w:i/>
          <w:szCs w:val="24"/>
        </w:rPr>
        <w:t>Government and Business Finance: Global Perspectives on Economic Development</w:t>
      </w:r>
      <w:r w:rsidR="000F0D08">
        <w:rPr>
          <w:rFonts w:cs="Times New Roman"/>
          <w:szCs w:val="24"/>
        </w:rPr>
        <w:t>.</w:t>
      </w:r>
      <w:r w:rsidRPr="000A58DA">
        <w:rPr>
          <w:rFonts w:cs="Times New Roman"/>
          <w:szCs w:val="24"/>
        </w:rPr>
        <w:t xml:space="preserve"> Newark: CUPR Press of Rutgers University.</w:t>
      </w:r>
    </w:p>
    <w:p w:rsidR="000F0D08" w:rsidRDefault="00151BCF" w:rsidP="000F0D08">
      <w:pPr>
        <w:spacing w:line="480" w:lineRule="auto"/>
        <w:ind w:left="432" w:hanging="432"/>
        <w:rPr>
          <w:rFonts w:cs="Times New Roman"/>
          <w:szCs w:val="24"/>
        </w:rPr>
      </w:pPr>
      <w:r w:rsidRPr="000A58DA">
        <w:rPr>
          <w:rFonts w:cs="Times New Roman"/>
          <w:szCs w:val="24"/>
        </w:rPr>
        <w:t xml:space="preserve">Armijo, L.E. and P. </w:t>
      </w:r>
      <w:proofErr w:type="spellStart"/>
      <w:r w:rsidRPr="000A58DA">
        <w:rPr>
          <w:rFonts w:cs="Times New Roman"/>
          <w:szCs w:val="24"/>
        </w:rPr>
        <w:t>Faucher</w:t>
      </w:r>
      <w:proofErr w:type="spellEnd"/>
      <w:r w:rsidRPr="000A58DA">
        <w:rPr>
          <w:rFonts w:cs="Times New Roman"/>
          <w:szCs w:val="24"/>
        </w:rPr>
        <w:t xml:space="preserve">. 2002. "‘We  Have a Consensus’: Explaining Political Support for </w:t>
      </w:r>
      <w:r w:rsidR="000F0D08">
        <w:rPr>
          <w:rFonts w:cs="Times New Roman"/>
          <w:szCs w:val="24"/>
        </w:rPr>
        <w:t>Market Reforms in Latin America.</w:t>
      </w:r>
      <w:r w:rsidRPr="000A58DA">
        <w:rPr>
          <w:rFonts w:cs="Times New Roman"/>
          <w:szCs w:val="24"/>
        </w:rPr>
        <w:t xml:space="preserve">" </w:t>
      </w:r>
      <w:r w:rsidRPr="000A58DA">
        <w:rPr>
          <w:rFonts w:cs="Times New Roman"/>
          <w:i/>
          <w:iCs/>
          <w:szCs w:val="24"/>
        </w:rPr>
        <w:t>Latin American Politics and Society</w:t>
      </w:r>
      <w:r w:rsidRPr="000A58DA">
        <w:rPr>
          <w:rFonts w:cs="Times New Roman"/>
          <w:szCs w:val="24"/>
        </w:rPr>
        <w:t>, 44:2, pp. 1-40.</w:t>
      </w:r>
    </w:p>
    <w:p w:rsidR="00151BCF" w:rsidRPr="000A58DA" w:rsidRDefault="000F0D08" w:rsidP="000F0D08">
      <w:pPr>
        <w:spacing w:line="480" w:lineRule="auto"/>
        <w:ind w:left="432" w:hanging="432"/>
        <w:rPr>
          <w:rFonts w:cs="Times New Roman"/>
          <w:szCs w:val="24"/>
        </w:rPr>
      </w:pPr>
      <w:proofErr w:type="spellStart"/>
      <w:r>
        <w:rPr>
          <w:rFonts w:cs="Times New Roman"/>
          <w:szCs w:val="24"/>
        </w:rPr>
        <w:t>Bacha</w:t>
      </w:r>
      <w:proofErr w:type="spellEnd"/>
      <w:r>
        <w:rPr>
          <w:rFonts w:cs="Times New Roman"/>
          <w:szCs w:val="24"/>
        </w:rPr>
        <w:t>, E. 2002.</w:t>
      </w:r>
      <w:r w:rsidR="00151BCF" w:rsidRPr="000A58DA">
        <w:rPr>
          <w:rFonts w:cs="Times New Roman"/>
          <w:szCs w:val="24"/>
        </w:rPr>
        <w:t xml:space="preserve"> ‘Do </w:t>
      </w:r>
      <w:proofErr w:type="spellStart"/>
      <w:r w:rsidR="00151BCF" w:rsidRPr="000A58DA">
        <w:rPr>
          <w:rFonts w:cs="Times New Roman"/>
          <w:szCs w:val="24"/>
        </w:rPr>
        <w:t>Consenso</w:t>
      </w:r>
      <w:proofErr w:type="spellEnd"/>
      <w:r w:rsidR="00151BCF" w:rsidRPr="000A58DA">
        <w:rPr>
          <w:rFonts w:cs="Times New Roman"/>
          <w:szCs w:val="24"/>
        </w:rPr>
        <w:t xml:space="preserve"> de Wash</w:t>
      </w:r>
      <w:r>
        <w:rPr>
          <w:rFonts w:cs="Times New Roman"/>
          <w:szCs w:val="24"/>
        </w:rPr>
        <w:t xml:space="preserve">ington </w:t>
      </w:r>
      <w:proofErr w:type="spellStart"/>
      <w:r>
        <w:rPr>
          <w:rFonts w:cs="Times New Roman"/>
          <w:szCs w:val="24"/>
        </w:rPr>
        <w:t>ao</w:t>
      </w:r>
      <w:proofErr w:type="spellEnd"/>
      <w:r>
        <w:rPr>
          <w:rFonts w:cs="Times New Roman"/>
          <w:szCs w:val="24"/>
        </w:rPr>
        <w:t xml:space="preserve"> </w:t>
      </w:r>
      <w:proofErr w:type="spellStart"/>
      <w:r>
        <w:rPr>
          <w:rFonts w:cs="Times New Roman"/>
          <w:szCs w:val="24"/>
        </w:rPr>
        <w:t>Dissenso</w:t>
      </w:r>
      <w:proofErr w:type="spellEnd"/>
      <w:r>
        <w:rPr>
          <w:rFonts w:cs="Times New Roman"/>
          <w:szCs w:val="24"/>
        </w:rPr>
        <w:t xml:space="preserve"> de Cambridge’ I</w:t>
      </w:r>
      <w:r w:rsidR="00151BCF" w:rsidRPr="000A58DA">
        <w:rPr>
          <w:rFonts w:cs="Times New Roman"/>
          <w:szCs w:val="24"/>
        </w:rPr>
        <w:t>n A. C. Castro (ed.),</w:t>
      </w:r>
      <w:r>
        <w:rPr>
          <w:rFonts w:cs="Times New Roman"/>
          <w:szCs w:val="24"/>
        </w:rPr>
        <w:t xml:space="preserve"> </w:t>
      </w:r>
      <w:proofErr w:type="spellStart"/>
      <w:r w:rsidR="00151BCF" w:rsidRPr="000A58DA">
        <w:rPr>
          <w:rFonts w:cs="Times New Roman"/>
          <w:i/>
          <w:iCs/>
          <w:szCs w:val="24"/>
        </w:rPr>
        <w:t>Desenvolvimento</w:t>
      </w:r>
      <w:proofErr w:type="spellEnd"/>
      <w:r w:rsidR="00151BCF" w:rsidRPr="000A58DA">
        <w:rPr>
          <w:rFonts w:cs="Times New Roman"/>
          <w:i/>
          <w:iCs/>
          <w:szCs w:val="24"/>
        </w:rPr>
        <w:t xml:space="preserve"> </w:t>
      </w:r>
      <w:proofErr w:type="spellStart"/>
      <w:r w:rsidR="00151BCF" w:rsidRPr="000A58DA">
        <w:rPr>
          <w:rFonts w:cs="Times New Roman"/>
          <w:i/>
          <w:iCs/>
          <w:szCs w:val="24"/>
        </w:rPr>
        <w:t>em</w:t>
      </w:r>
      <w:proofErr w:type="spellEnd"/>
      <w:r w:rsidR="00151BCF" w:rsidRPr="000A58DA">
        <w:rPr>
          <w:rFonts w:cs="Times New Roman"/>
          <w:i/>
          <w:iCs/>
          <w:szCs w:val="24"/>
        </w:rPr>
        <w:t xml:space="preserve"> debate: </w:t>
      </w:r>
      <w:proofErr w:type="spellStart"/>
      <w:r w:rsidR="00151BCF" w:rsidRPr="000A58DA">
        <w:rPr>
          <w:rFonts w:cs="Times New Roman"/>
          <w:i/>
          <w:iCs/>
          <w:szCs w:val="24"/>
        </w:rPr>
        <w:t>novos</w:t>
      </w:r>
      <w:proofErr w:type="spellEnd"/>
      <w:r w:rsidR="00151BCF" w:rsidRPr="000A58DA">
        <w:rPr>
          <w:rFonts w:cs="Times New Roman"/>
          <w:i/>
          <w:iCs/>
          <w:szCs w:val="24"/>
        </w:rPr>
        <w:t xml:space="preserve"> </w:t>
      </w:r>
      <w:proofErr w:type="spellStart"/>
      <w:r w:rsidR="00151BCF" w:rsidRPr="000A58DA">
        <w:rPr>
          <w:rFonts w:cs="Times New Roman"/>
          <w:i/>
          <w:iCs/>
          <w:szCs w:val="24"/>
        </w:rPr>
        <w:t>ru</w:t>
      </w:r>
      <w:r>
        <w:rPr>
          <w:rFonts w:cs="Times New Roman"/>
          <w:i/>
          <w:iCs/>
          <w:szCs w:val="24"/>
        </w:rPr>
        <w:t>mos</w:t>
      </w:r>
      <w:proofErr w:type="spellEnd"/>
      <w:r>
        <w:rPr>
          <w:rFonts w:cs="Times New Roman"/>
          <w:i/>
          <w:iCs/>
          <w:szCs w:val="24"/>
        </w:rPr>
        <w:t xml:space="preserve"> do </w:t>
      </w:r>
      <w:proofErr w:type="spellStart"/>
      <w:r>
        <w:rPr>
          <w:rFonts w:cs="Times New Roman"/>
          <w:i/>
          <w:iCs/>
          <w:szCs w:val="24"/>
        </w:rPr>
        <w:t>desenvolivmento</w:t>
      </w:r>
      <w:proofErr w:type="spellEnd"/>
      <w:r>
        <w:rPr>
          <w:rFonts w:cs="Times New Roman"/>
          <w:i/>
          <w:iCs/>
          <w:szCs w:val="24"/>
        </w:rPr>
        <w:t xml:space="preserve"> no </w:t>
      </w:r>
      <w:proofErr w:type="spellStart"/>
      <w:r>
        <w:rPr>
          <w:rFonts w:cs="Times New Roman"/>
          <w:i/>
          <w:iCs/>
          <w:szCs w:val="24"/>
        </w:rPr>
        <w:t>mundo</w:t>
      </w:r>
      <w:proofErr w:type="spellEnd"/>
      <w:r>
        <w:rPr>
          <w:rFonts w:cs="Times New Roman"/>
          <w:i/>
          <w:iCs/>
          <w:szCs w:val="24"/>
        </w:rPr>
        <w:t xml:space="preserve">. </w:t>
      </w:r>
      <w:r>
        <w:rPr>
          <w:rFonts w:cs="Times New Roman"/>
          <w:szCs w:val="24"/>
        </w:rPr>
        <w:t>Rio de Janeiro: BNDES</w:t>
      </w:r>
      <w:r w:rsidR="00151BCF" w:rsidRPr="000A58DA">
        <w:rPr>
          <w:rFonts w:cs="Times New Roman"/>
          <w:szCs w:val="24"/>
        </w:rPr>
        <w:t>.</w:t>
      </w:r>
    </w:p>
    <w:p w:rsidR="00151BCF" w:rsidRPr="000A58DA" w:rsidRDefault="00151BCF" w:rsidP="000F0D08">
      <w:pPr>
        <w:spacing w:line="480" w:lineRule="auto"/>
        <w:ind w:left="432" w:hanging="432"/>
        <w:rPr>
          <w:rFonts w:cs="Times New Roman"/>
          <w:szCs w:val="24"/>
        </w:rPr>
      </w:pPr>
      <w:r w:rsidRPr="000A58DA">
        <w:rPr>
          <w:rFonts w:cs="Times New Roman"/>
          <w:szCs w:val="24"/>
        </w:rPr>
        <w:lastRenderedPageBreak/>
        <w:t>Ban, Cornel. Forthcoming  2013. “</w:t>
      </w:r>
      <w:r w:rsidRPr="000A58DA">
        <w:rPr>
          <w:rFonts w:cs="Times New Roman"/>
          <w:bCs/>
          <w:szCs w:val="24"/>
        </w:rPr>
        <w:t>Brazil’s Liberal Neo-</w:t>
      </w:r>
      <w:proofErr w:type="spellStart"/>
      <w:r w:rsidRPr="000A58DA">
        <w:rPr>
          <w:rFonts w:cs="Times New Roman"/>
          <w:bCs/>
          <w:szCs w:val="24"/>
        </w:rPr>
        <w:t>Developmentalism</w:t>
      </w:r>
      <w:proofErr w:type="spellEnd"/>
      <w:r w:rsidRPr="000A58DA">
        <w:rPr>
          <w:rFonts w:cs="Times New Roman"/>
          <w:bCs/>
          <w:szCs w:val="24"/>
        </w:rPr>
        <w:t>: Ne</w:t>
      </w:r>
      <w:r w:rsidR="000F0D08">
        <w:rPr>
          <w:rFonts w:cs="Times New Roman"/>
          <w:bCs/>
          <w:szCs w:val="24"/>
        </w:rPr>
        <w:t>w Paradigm or Edited Orthodoxy?</w:t>
      </w:r>
      <w:r w:rsidRPr="000A58DA">
        <w:rPr>
          <w:rFonts w:cs="Times New Roman"/>
          <w:bCs/>
          <w:szCs w:val="24"/>
        </w:rPr>
        <w:t xml:space="preserve">” </w:t>
      </w:r>
      <w:r w:rsidRPr="000A58DA">
        <w:rPr>
          <w:rFonts w:cs="Times New Roman"/>
          <w:bCs/>
          <w:i/>
          <w:szCs w:val="24"/>
        </w:rPr>
        <w:t>Review of International Political Economy.</w:t>
      </w:r>
    </w:p>
    <w:p w:rsidR="00151BCF" w:rsidRPr="000A58DA" w:rsidRDefault="00151BCF" w:rsidP="000F0D08">
      <w:pPr>
        <w:spacing w:line="480" w:lineRule="auto"/>
        <w:ind w:left="432" w:hanging="432"/>
        <w:rPr>
          <w:rFonts w:cs="Times New Roman"/>
          <w:szCs w:val="24"/>
        </w:rPr>
      </w:pPr>
      <w:proofErr w:type="spellStart"/>
      <w:r w:rsidRPr="000A58DA">
        <w:rPr>
          <w:rFonts w:cs="Times New Roman"/>
          <w:szCs w:val="24"/>
        </w:rPr>
        <w:t>Banco</w:t>
      </w:r>
      <w:proofErr w:type="spellEnd"/>
      <w:r w:rsidRPr="000A58DA">
        <w:rPr>
          <w:rFonts w:cs="Times New Roman"/>
          <w:szCs w:val="24"/>
        </w:rPr>
        <w:t xml:space="preserve"> Central do </w:t>
      </w:r>
      <w:proofErr w:type="spellStart"/>
      <w:r w:rsidRPr="000A58DA">
        <w:rPr>
          <w:rFonts w:cs="Times New Roman"/>
          <w:szCs w:val="24"/>
        </w:rPr>
        <w:t>Brasil</w:t>
      </w:r>
      <w:proofErr w:type="spellEnd"/>
      <w:r w:rsidRPr="000A58DA">
        <w:rPr>
          <w:rFonts w:cs="Times New Roman"/>
          <w:szCs w:val="24"/>
        </w:rPr>
        <w:t xml:space="preserve"> (BCB). 2009. </w:t>
      </w:r>
      <w:proofErr w:type="spellStart"/>
      <w:r w:rsidRPr="000A58DA">
        <w:rPr>
          <w:rFonts w:cs="Times New Roman"/>
          <w:i/>
          <w:szCs w:val="24"/>
        </w:rPr>
        <w:t>Boletim</w:t>
      </w:r>
      <w:proofErr w:type="spellEnd"/>
      <w:r w:rsidRPr="000A58DA">
        <w:rPr>
          <w:rFonts w:cs="Times New Roman"/>
          <w:i/>
          <w:szCs w:val="24"/>
        </w:rPr>
        <w:t xml:space="preserve"> Mensal. </w:t>
      </w:r>
      <w:r w:rsidRPr="000A58DA">
        <w:rPr>
          <w:rFonts w:cs="Times New Roman"/>
          <w:szCs w:val="24"/>
        </w:rPr>
        <w:t xml:space="preserve">Brasília: BCB, December. At </w:t>
      </w:r>
      <w:hyperlink r:id="rId11" w:history="1">
        <w:r w:rsidRPr="000A58DA">
          <w:rPr>
            <w:rStyle w:val="Hyperlink"/>
            <w:rFonts w:cs="Times New Roman"/>
            <w:color w:val="auto"/>
            <w:szCs w:val="24"/>
          </w:rPr>
          <w:t>www.bcb.gov.br</w:t>
        </w:r>
      </w:hyperlink>
      <w:r w:rsidRPr="000A58DA">
        <w:rPr>
          <w:rFonts w:cs="Times New Roman"/>
          <w:szCs w:val="24"/>
        </w:rPr>
        <w:t>, accessed February 2013.</w:t>
      </w:r>
    </w:p>
    <w:p w:rsidR="00151BCF" w:rsidRPr="000A58DA" w:rsidRDefault="00151BCF" w:rsidP="000F0D08">
      <w:pPr>
        <w:spacing w:line="480" w:lineRule="auto"/>
        <w:ind w:left="432" w:hanging="432"/>
        <w:rPr>
          <w:rFonts w:cs="Times New Roman"/>
          <w:szCs w:val="24"/>
        </w:rPr>
      </w:pPr>
      <w:proofErr w:type="spellStart"/>
      <w:r w:rsidRPr="000A58DA">
        <w:rPr>
          <w:rFonts w:cs="Times New Roman"/>
          <w:szCs w:val="24"/>
        </w:rPr>
        <w:t>Banco</w:t>
      </w:r>
      <w:proofErr w:type="spellEnd"/>
      <w:r w:rsidRPr="000A58DA">
        <w:rPr>
          <w:rFonts w:cs="Times New Roman"/>
          <w:szCs w:val="24"/>
        </w:rPr>
        <w:t xml:space="preserve"> </w:t>
      </w:r>
      <w:proofErr w:type="spellStart"/>
      <w:r w:rsidRPr="000A58DA">
        <w:rPr>
          <w:rFonts w:cs="Times New Roman"/>
          <w:szCs w:val="24"/>
        </w:rPr>
        <w:t>Nacional</w:t>
      </w:r>
      <w:proofErr w:type="spellEnd"/>
      <w:r w:rsidRPr="000A58DA">
        <w:rPr>
          <w:rFonts w:cs="Times New Roman"/>
          <w:szCs w:val="24"/>
        </w:rPr>
        <w:t xml:space="preserve"> de </w:t>
      </w:r>
      <w:proofErr w:type="spellStart"/>
      <w:r w:rsidRPr="000A58DA">
        <w:rPr>
          <w:rFonts w:cs="Times New Roman"/>
          <w:szCs w:val="24"/>
        </w:rPr>
        <w:t>Desenvolvimento</w:t>
      </w:r>
      <w:proofErr w:type="spellEnd"/>
      <w:r w:rsidRPr="000A58DA">
        <w:rPr>
          <w:rFonts w:cs="Times New Roman"/>
          <w:szCs w:val="24"/>
        </w:rPr>
        <w:t xml:space="preserve"> </w:t>
      </w:r>
      <w:proofErr w:type="spellStart"/>
      <w:r w:rsidRPr="000A58DA">
        <w:rPr>
          <w:rFonts w:cs="Times New Roman"/>
          <w:szCs w:val="24"/>
        </w:rPr>
        <w:t>Econômico</w:t>
      </w:r>
      <w:proofErr w:type="spellEnd"/>
      <w:r w:rsidRPr="000A58DA">
        <w:rPr>
          <w:rFonts w:cs="Times New Roman"/>
          <w:szCs w:val="24"/>
        </w:rPr>
        <w:t xml:space="preserve"> e Social (BNDES). 2002a.  </w:t>
      </w:r>
      <w:r w:rsidRPr="000A58DA">
        <w:rPr>
          <w:rFonts w:cs="Times New Roman"/>
          <w:i/>
          <w:szCs w:val="24"/>
        </w:rPr>
        <w:t xml:space="preserve">BNDES: </w:t>
      </w:r>
      <w:proofErr w:type="spellStart"/>
      <w:r w:rsidRPr="000A58DA">
        <w:rPr>
          <w:rFonts w:cs="Times New Roman"/>
          <w:i/>
          <w:szCs w:val="24"/>
        </w:rPr>
        <w:t>Cinqüenta</w:t>
      </w:r>
      <w:proofErr w:type="spellEnd"/>
      <w:r w:rsidRPr="000A58DA">
        <w:rPr>
          <w:rFonts w:cs="Times New Roman"/>
          <w:i/>
          <w:szCs w:val="24"/>
        </w:rPr>
        <w:t xml:space="preserve"> </w:t>
      </w:r>
      <w:proofErr w:type="spellStart"/>
      <w:r w:rsidRPr="000A58DA">
        <w:rPr>
          <w:rFonts w:cs="Times New Roman"/>
          <w:i/>
          <w:szCs w:val="24"/>
        </w:rPr>
        <w:t>anos</w:t>
      </w:r>
      <w:proofErr w:type="spellEnd"/>
      <w:r w:rsidRPr="000A58DA">
        <w:rPr>
          <w:rFonts w:cs="Times New Roman"/>
          <w:i/>
          <w:szCs w:val="24"/>
        </w:rPr>
        <w:t xml:space="preserve"> de </w:t>
      </w:r>
      <w:proofErr w:type="spellStart"/>
      <w:r w:rsidRPr="000A58DA">
        <w:rPr>
          <w:rFonts w:cs="Times New Roman"/>
          <w:i/>
          <w:szCs w:val="24"/>
        </w:rPr>
        <w:t>desenvolvimento</w:t>
      </w:r>
      <w:proofErr w:type="spellEnd"/>
      <w:r w:rsidRPr="000A58DA">
        <w:rPr>
          <w:rFonts w:cs="Times New Roman"/>
          <w:i/>
          <w:szCs w:val="24"/>
        </w:rPr>
        <w:t xml:space="preserve">, </w:t>
      </w:r>
      <w:r w:rsidRPr="000A58DA">
        <w:rPr>
          <w:rFonts w:cs="Times New Roman"/>
          <w:szCs w:val="24"/>
        </w:rPr>
        <w:t xml:space="preserve">June. At </w:t>
      </w:r>
      <w:hyperlink r:id="rId12" w:history="1">
        <w:r w:rsidRPr="000A58DA">
          <w:rPr>
            <w:rStyle w:val="Hyperlink"/>
            <w:rFonts w:cs="Times New Roman"/>
            <w:color w:val="auto"/>
            <w:szCs w:val="24"/>
          </w:rPr>
          <w:t>www.bndes.gov.br</w:t>
        </w:r>
      </w:hyperlink>
      <w:r w:rsidRPr="000A58DA">
        <w:rPr>
          <w:rFonts w:cs="Times New Roman"/>
          <w:szCs w:val="24"/>
        </w:rPr>
        <w:t>, accessed February 2013.</w:t>
      </w:r>
    </w:p>
    <w:p w:rsidR="00151BCF" w:rsidRPr="000A58DA" w:rsidRDefault="00151BCF" w:rsidP="000F0D08">
      <w:pPr>
        <w:spacing w:line="480" w:lineRule="auto"/>
        <w:ind w:left="432" w:hanging="432"/>
        <w:rPr>
          <w:rFonts w:cs="Times New Roman"/>
          <w:szCs w:val="24"/>
        </w:rPr>
      </w:pPr>
      <w:proofErr w:type="spellStart"/>
      <w:r w:rsidRPr="000A58DA">
        <w:rPr>
          <w:rFonts w:cs="Times New Roman"/>
          <w:szCs w:val="24"/>
        </w:rPr>
        <w:t>Banco</w:t>
      </w:r>
      <w:proofErr w:type="spellEnd"/>
      <w:r w:rsidRPr="000A58DA">
        <w:rPr>
          <w:rFonts w:cs="Times New Roman"/>
          <w:szCs w:val="24"/>
        </w:rPr>
        <w:t xml:space="preserve"> </w:t>
      </w:r>
      <w:proofErr w:type="spellStart"/>
      <w:r w:rsidRPr="000A58DA">
        <w:rPr>
          <w:rFonts w:cs="Times New Roman"/>
          <w:szCs w:val="24"/>
        </w:rPr>
        <w:t>Nacional</w:t>
      </w:r>
      <w:proofErr w:type="spellEnd"/>
      <w:r w:rsidRPr="000A58DA">
        <w:rPr>
          <w:rFonts w:cs="Times New Roman"/>
          <w:szCs w:val="24"/>
        </w:rPr>
        <w:t xml:space="preserve"> de </w:t>
      </w:r>
      <w:proofErr w:type="spellStart"/>
      <w:r w:rsidRPr="000A58DA">
        <w:rPr>
          <w:rFonts w:cs="Times New Roman"/>
          <w:szCs w:val="24"/>
        </w:rPr>
        <w:t>Desenvolvimento</w:t>
      </w:r>
      <w:proofErr w:type="spellEnd"/>
      <w:r w:rsidRPr="000A58DA">
        <w:rPr>
          <w:rFonts w:cs="Times New Roman"/>
          <w:szCs w:val="24"/>
        </w:rPr>
        <w:t xml:space="preserve"> </w:t>
      </w:r>
      <w:proofErr w:type="spellStart"/>
      <w:r w:rsidRPr="000A58DA">
        <w:rPr>
          <w:rFonts w:cs="Times New Roman"/>
          <w:szCs w:val="24"/>
        </w:rPr>
        <w:t>Econômico</w:t>
      </w:r>
      <w:proofErr w:type="spellEnd"/>
      <w:r w:rsidRPr="000A58DA">
        <w:rPr>
          <w:rFonts w:cs="Times New Roman"/>
          <w:szCs w:val="24"/>
        </w:rPr>
        <w:t xml:space="preserve"> e Social (BNDES). 2002b. “Privatization in Brazil,” </w:t>
      </w:r>
      <w:proofErr w:type="spellStart"/>
      <w:r w:rsidRPr="000A58DA">
        <w:rPr>
          <w:rFonts w:cs="Times New Roman"/>
          <w:szCs w:val="24"/>
        </w:rPr>
        <w:t>Powerpoint</w:t>
      </w:r>
      <w:proofErr w:type="spellEnd"/>
      <w:r w:rsidRPr="000A58DA">
        <w:rPr>
          <w:rFonts w:cs="Times New Roman"/>
          <w:szCs w:val="24"/>
        </w:rPr>
        <w:t xml:space="preserve"> presentation, September. At </w:t>
      </w:r>
      <w:hyperlink r:id="rId13" w:history="1">
        <w:r w:rsidRPr="000A58DA">
          <w:rPr>
            <w:rStyle w:val="Hyperlink"/>
            <w:rFonts w:cs="Times New Roman"/>
            <w:color w:val="auto"/>
            <w:szCs w:val="24"/>
          </w:rPr>
          <w:t>www.bndes.gov.br</w:t>
        </w:r>
      </w:hyperlink>
      <w:r w:rsidRPr="000A58DA">
        <w:rPr>
          <w:rFonts w:cs="Times New Roman"/>
          <w:szCs w:val="24"/>
        </w:rPr>
        <w:t>, accessed March 2013.</w:t>
      </w:r>
    </w:p>
    <w:p w:rsidR="00151BCF" w:rsidRPr="000A58DA" w:rsidRDefault="00151BCF" w:rsidP="000F0D08">
      <w:pPr>
        <w:spacing w:line="480" w:lineRule="auto"/>
        <w:ind w:left="432" w:hanging="432"/>
        <w:rPr>
          <w:rFonts w:cs="Times New Roman"/>
          <w:szCs w:val="24"/>
        </w:rPr>
      </w:pPr>
      <w:proofErr w:type="spellStart"/>
      <w:r w:rsidRPr="000A58DA">
        <w:rPr>
          <w:rFonts w:cs="Times New Roman"/>
          <w:szCs w:val="24"/>
        </w:rPr>
        <w:t>Banco</w:t>
      </w:r>
      <w:proofErr w:type="spellEnd"/>
      <w:r w:rsidRPr="000A58DA">
        <w:rPr>
          <w:rFonts w:cs="Times New Roman"/>
          <w:szCs w:val="24"/>
        </w:rPr>
        <w:t xml:space="preserve"> </w:t>
      </w:r>
      <w:proofErr w:type="spellStart"/>
      <w:r w:rsidRPr="000A58DA">
        <w:rPr>
          <w:rFonts w:cs="Times New Roman"/>
          <w:szCs w:val="24"/>
        </w:rPr>
        <w:t>Nacional</w:t>
      </w:r>
      <w:proofErr w:type="spellEnd"/>
      <w:r w:rsidRPr="000A58DA">
        <w:rPr>
          <w:rFonts w:cs="Times New Roman"/>
          <w:szCs w:val="24"/>
        </w:rPr>
        <w:t xml:space="preserve"> de </w:t>
      </w:r>
      <w:proofErr w:type="spellStart"/>
      <w:r w:rsidRPr="000A58DA">
        <w:rPr>
          <w:rFonts w:cs="Times New Roman"/>
          <w:szCs w:val="24"/>
        </w:rPr>
        <w:t>Desenvolvimento</w:t>
      </w:r>
      <w:proofErr w:type="spellEnd"/>
      <w:r w:rsidRPr="000A58DA">
        <w:rPr>
          <w:rFonts w:cs="Times New Roman"/>
          <w:szCs w:val="24"/>
        </w:rPr>
        <w:t xml:space="preserve"> </w:t>
      </w:r>
      <w:proofErr w:type="spellStart"/>
      <w:r w:rsidRPr="000A58DA">
        <w:rPr>
          <w:rFonts w:cs="Times New Roman"/>
          <w:szCs w:val="24"/>
        </w:rPr>
        <w:t>Econômico</w:t>
      </w:r>
      <w:proofErr w:type="spellEnd"/>
      <w:r w:rsidRPr="000A58DA">
        <w:rPr>
          <w:rFonts w:cs="Times New Roman"/>
          <w:szCs w:val="24"/>
        </w:rPr>
        <w:t xml:space="preserve"> e Social (BNDES). 2011. “Financial and Institutional Aspects,” </w:t>
      </w:r>
      <w:proofErr w:type="spellStart"/>
      <w:r w:rsidRPr="000A58DA">
        <w:rPr>
          <w:rFonts w:cs="Times New Roman"/>
          <w:szCs w:val="24"/>
        </w:rPr>
        <w:t>Powerpoint</w:t>
      </w:r>
      <w:proofErr w:type="spellEnd"/>
      <w:r w:rsidRPr="000A58DA">
        <w:rPr>
          <w:rFonts w:cs="Times New Roman"/>
          <w:szCs w:val="24"/>
        </w:rPr>
        <w:t xml:space="preserve"> presentation, June.  At </w:t>
      </w:r>
      <w:hyperlink r:id="rId14" w:history="1">
        <w:r w:rsidRPr="000A58DA">
          <w:rPr>
            <w:rStyle w:val="Hyperlink"/>
            <w:rFonts w:cs="Times New Roman"/>
            <w:color w:val="auto"/>
            <w:szCs w:val="24"/>
          </w:rPr>
          <w:t>www.bndes.gov.br</w:t>
        </w:r>
      </w:hyperlink>
      <w:r w:rsidRPr="000A58DA">
        <w:rPr>
          <w:rFonts w:cs="Times New Roman"/>
          <w:szCs w:val="24"/>
        </w:rPr>
        <w:t>, accessed February 2013.</w:t>
      </w:r>
    </w:p>
    <w:p w:rsidR="00151BCF" w:rsidRPr="000A58DA" w:rsidRDefault="00151BCF" w:rsidP="000F0D08">
      <w:pPr>
        <w:spacing w:line="480" w:lineRule="auto"/>
        <w:ind w:left="432" w:hanging="432"/>
        <w:rPr>
          <w:rFonts w:cs="Times New Roman"/>
          <w:szCs w:val="24"/>
        </w:rPr>
      </w:pPr>
      <w:proofErr w:type="spellStart"/>
      <w:r w:rsidRPr="000A58DA">
        <w:rPr>
          <w:rFonts w:cs="Times New Roman"/>
          <w:szCs w:val="24"/>
        </w:rPr>
        <w:t>Banco</w:t>
      </w:r>
      <w:proofErr w:type="spellEnd"/>
      <w:r w:rsidRPr="000A58DA">
        <w:rPr>
          <w:rFonts w:cs="Times New Roman"/>
          <w:szCs w:val="24"/>
        </w:rPr>
        <w:t xml:space="preserve"> </w:t>
      </w:r>
      <w:proofErr w:type="spellStart"/>
      <w:r w:rsidRPr="000A58DA">
        <w:rPr>
          <w:rFonts w:cs="Times New Roman"/>
          <w:szCs w:val="24"/>
        </w:rPr>
        <w:t>Nacional</w:t>
      </w:r>
      <w:proofErr w:type="spellEnd"/>
      <w:r w:rsidRPr="000A58DA">
        <w:rPr>
          <w:rFonts w:cs="Times New Roman"/>
          <w:szCs w:val="24"/>
        </w:rPr>
        <w:t xml:space="preserve"> de </w:t>
      </w:r>
      <w:proofErr w:type="spellStart"/>
      <w:r w:rsidRPr="000A58DA">
        <w:rPr>
          <w:rFonts w:cs="Times New Roman"/>
          <w:szCs w:val="24"/>
        </w:rPr>
        <w:t>Desenvolvimento</w:t>
      </w:r>
      <w:proofErr w:type="spellEnd"/>
      <w:r w:rsidRPr="000A58DA">
        <w:rPr>
          <w:rFonts w:cs="Times New Roman"/>
          <w:szCs w:val="24"/>
        </w:rPr>
        <w:t xml:space="preserve"> </w:t>
      </w:r>
      <w:proofErr w:type="spellStart"/>
      <w:r w:rsidRPr="000A58DA">
        <w:rPr>
          <w:rFonts w:cs="Times New Roman"/>
          <w:szCs w:val="24"/>
        </w:rPr>
        <w:t>Econômico</w:t>
      </w:r>
      <w:proofErr w:type="spellEnd"/>
      <w:r w:rsidRPr="000A58DA">
        <w:rPr>
          <w:rFonts w:cs="Times New Roman"/>
          <w:szCs w:val="24"/>
        </w:rPr>
        <w:t xml:space="preserve"> e Social (BNDES). 2012.  </w:t>
      </w:r>
      <w:r w:rsidRPr="000A58DA">
        <w:rPr>
          <w:rFonts w:cs="Times New Roman"/>
          <w:i/>
          <w:szCs w:val="24"/>
        </w:rPr>
        <w:t xml:space="preserve">Annual Report 2011. </w:t>
      </w:r>
      <w:r w:rsidRPr="000A58DA">
        <w:rPr>
          <w:rFonts w:cs="Times New Roman"/>
          <w:szCs w:val="24"/>
        </w:rPr>
        <w:t xml:space="preserve">Rio de Janeiro: BNDES. At </w:t>
      </w:r>
      <w:hyperlink r:id="rId15" w:history="1">
        <w:r w:rsidRPr="000A58DA">
          <w:rPr>
            <w:rStyle w:val="Hyperlink"/>
            <w:rFonts w:cs="Times New Roman"/>
            <w:color w:val="auto"/>
            <w:szCs w:val="24"/>
          </w:rPr>
          <w:t>www.bndes.gov.br</w:t>
        </w:r>
      </w:hyperlink>
      <w:r w:rsidRPr="000A58DA">
        <w:rPr>
          <w:rFonts w:cs="Times New Roman"/>
          <w:szCs w:val="24"/>
        </w:rPr>
        <w:t>, accessed February 2013.</w:t>
      </w:r>
    </w:p>
    <w:p w:rsidR="00151BCF" w:rsidRPr="000A58DA" w:rsidRDefault="00151BCF" w:rsidP="000F0D08">
      <w:pPr>
        <w:spacing w:line="480" w:lineRule="auto"/>
        <w:ind w:left="432" w:hanging="432"/>
        <w:rPr>
          <w:rFonts w:cs="Times New Roman"/>
          <w:szCs w:val="24"/>
        </w:rPr>
      </w:pPr>
      <w:proofErr w:type="spellStart"/>
      <w:r w:rsidRPr="000A58DA">
        <w:rPr>
          <w:rFonts w:cs="Times New Roman"/>
          <w:szCs w:val="24"/>
        </w:rPr>
        <w:t>Banco</w:t>
      </w:r>
      <w:proofErr w:type="spellEnd"/>
      <w:r w:rsidRPr="000A58DA">
        <w:rPr>
          <w:rFonts w:cs="Times New Roman"/>
          <w:szCs w:val="24"/>
        </w:rPr>
        <w:t xml:space="preserve"> </w:t>
      </w:r>
      <w:proofErr w:type="spellStart"/>
      <w:r w:rsidRPr="000A58DA">
        <w:rPr>
          <w:rFonts w:cs="Times New Roman"/>
          <w:szCs w:val="24"/>
        </w:rPr>
        <w:t>Nacional</w:t>
      </w:r>
      <w:proofErr w:type="spellEnd"/>
      <w:r w:rsidRPr="000A58DA">
        <w:rPr>
          <w:rFonts w:cs="Times New Roman"/>
          <w:szCs w:val="24"/>
        </w:rPr>
        <w:t xml:space="preserve"> de </w:t>
      </w:r>
      <w:proofErr w:type="spellStart"/>
      <w:r w:rsidRPr="000A58DA">
        <w:rPr>
          <w:rFonts w:cs="Times New Roman"/>
          <w:szCs w:val="24"/>
        </w:rPr>
        <w:t>Desenvolvimento</w:t>
      </w:r>
      <w:proofErr w:type="spellEnd"/>
      <w:r w:rsidRPr="000A58DA">
        <w:rPr>
          <w:rFonts w:cs="Times New Roman"/>
          <w:szCs w:val="24"/>
        </w:rPr>
        <w:t xml:space="preserve"> </w:t>
      </w:r>
      <w:proofErr w:type="spellStart"/>
      <w:r w:rsidRPr="000A58DA">
        <w:rPr>
          <w:rFonts w:cs="Times New Roman"/>
          <w:szCs w:val="24"/>
        </w:rPr>
        <w:t>Econômico</w:t>
      </w:r>
      <w:proofErr w:type="spellEnd"/>
      <w:r w:rsidRPr="000A58DA">
        <w:rPr>
          <w:rFonts w:cs="Times New Roman"/>
          <w:szCs w:val="24"/>
        </w:rPr>
        <w:t xml:space="preserve"> e Social (BNDES). 2</w:t>
      </w:r>
      <w:r w:rsidR="007546A7">
        <w:rPr>
          <w:rFonts w:cs="Times New Roman"/>
          <w:szCs w:val="24"/>
        </w:rPr>
        <w:t>013. “</w:t>
      </w:r>
      <w:proofErr w:type="spellStart"/>
      <w:r w:rsidR="007546A7">
        <w:rPr>
          <w:rFonts w:cs="Times New Roman"/>
          <w:szCs w:val="24"/>
        </w:rPr>
        <w:t>Relações</w:t>
      </w:r>
      <w:proofErr w:type="spellEnd"/>
      <w:r w:rsidR="007546A7">
        <w:rPr>
          <w:rFonts w:cs="Times New Roman"/>
          <w:szCs w:val="24"/>
        </w:rPr>
        <w:t xml:space="preserve"> com </w:t>
      </w:r>
      <w:proofErr w:type="spellStart"/>
      <w:r w:rsidR="007546A7">
        <w:rPr>
          <w:rFonts w:cs="Times New Roman"/>
          <w:szCs w:val="24"/>
        </w:rPr>
        <w:t>Investidores</w:t>
      </w:r>
      <w:proofErr w:type="spellEnd"/>
      <w:r w:rsidR="007546A7">
        <w:rPr>
          <w:rFonts w:cs="Times New Roman"/>
          <w:szCs w:val="24"/>
        </w:rPr>
        <w:t>.”  A</w:t>
      </w:r>
      <w:r w:rsidRPr="000A58DA">
        <w:rPr>
          <w:rFonts w:cs="Times New Roman"/>
          <w:szCs w:val="24"/>
        </w:rPr>
        <w:t xml:space="preserve">t </w:t>
      </w:r>
      <w:hyperlink r:id="rId16" w:history="1">
        <w:r w:rsidRPr="000A58DA">
          <w:rPr>
            <w:rStyle w:val="Hyperlink"/>
            <w:rFonts w:cs="Times New Roman"/>
            <w:color w:val="auto"/>
            <w:szCs w:val="24"/>
          </w:rPr>
          <w:t>www.bndes.gov.br</w:t>
        </w:r>
      </w:hyperlink>
      <w:r w:rsidRPr="000A58DA">
        <w:rPr>
          <w:rFonts w:cs="Times New Roman"/>
          <w:szCs w:val="24"/>
        </w:rPr>
        <w:t>, accessed February 2013.</w:t>
      </w:r>
    </w:p>
    <w:p w:rsidR="00151BCF" w:rsidRDefault="00151BCF" w:rsidP="000F0D08">
      <w:pPr>
        <w:spacing w:line="480" w:lineRule="auto"/>
        <w:ind w:left="432" w:hanging="432"/>
        <w:rPr>
          <w:rFonts w:cs="Times New Roman"/>
          <w:szCs w:val="24"/>
        </w:rPr>
      </w:pPr>
      <w:r w:rsidRPr="000A58DA">
        <w:rPr>
          <w:rFonts w:cs="Times New Roman"/>
          <w:i/>
          <w:szCs w:val="24"/>
        </w:rPr>
        <w:t xml:space="preserve">BNDES News. </w:t>
      </w:r>
      <w:r w:rsidRPr="000A58DA">
        <w:rPr>
          <w:rFonts w:cs="Times New Roman"/>
          <w:szCs w:val="24"/>
        </w:rPr>
        <w:t>2010. “BNDES and the Stock Exchange launch Efficient Carbon Index at COP</w:t>
      </w:r>
      <w:r w:rsidR="007546A7">
        <w:rPr>
          <w:rFonts w:cs="Times New Roman"/>
          <w:szCs w:val="24"/>
        </w:rPr>
        <w:t xml:space="preserve"> 16,” Press Release, December 8. At </w:t>
      </w:r>
      <w:hyperlink r:id="rId17" w:history="1">
        <w:r w:rsidR="007546A7" w:rsidRPr="000F5604">
          <w:rPr>
            <w:rStyle w:val="Hyperlink"/>
            <w:rFonts w:cs="Times New Roman"/>
            <w:szCs w:val="24"/>
          </w:rPr>
          <w:t>www.bndes.gov.br</w:t>
        </w:r>
      </w:hyperlink>
      <w:r w:rsidR="007546A7">
        <w:rPr>
          <w:rFonts w:cs="Times New Roman"/>
          <w:szCs w:val="24"/>
        </w:rPr>
        <w:t>.</w:t>
      </w:r>
    </w:p>
    <w:p w:rsidR="00151BCF" w:rsidRPr="000A58DA" w:rsidRDefault="00151BCF" w:rsidP="000F0D08">
      <w:pPr>
        <w:spacing w:line="480" w:lineRule="auto"/>
        <w:ind w:left="432" w:hanging="432"/>
        <w:rPr>
          <w:rFonts w:cs="Times New Roman"/>
          <w:szCs w:val="24"/>
        </w:rPr>
      </w:pPr>
      <w:r w:rsidRPr="000A58DA">
        <w:rPr>
          <w:rFonts w:cs="Times New Roman"/>
          <w:szCs w:val="24"/>
        </w:rPr>
        <w:t xml:space="preserve">Beck, Thorsten, </w:t>
      </w:r>
      <w:proofErr w:type="spellStart"/>
      <w:r w:rsidRPr="000A58DA">
        <w:rPr>
          <w:rFonts w:cs="Times New Roman"/>
          <w:szCs w:val="24"/>
        </w:rPr>
        <w:t>Asli</w:t>
      </w:r>
      <w:proofErr w:type="spellEnd"/>
      <w:r w:rsidRPr="000A58DA">
        <w:rPr>
          <w:rFonts w:cs="Times New Roman"/>
          <w:szCs w:val="24"/>
        </w:rPr>
        <w:t xml:space="preserve"> </w:t>
      </w:r>
      <w:proofErr w:type="spellStart"/>
      <w:r w:rsidRPr="000A58DA">
        <w:rPr>
          <w:rFonts w:cs="Times New Roman"/>
          <w:szCs w:val="24"/>
        </w:rPr>
        <w:t>Demirgüç-Kunt</w:t>
      </w:r>
      <w:proofErr w:type="spellEnd"/>
      <w:r w:rsidRPr="000A58DA">
        <w:rPr>
          <w:rFonts w:cs="Times New Roman"/>
          <w:szCs w:val="24"/>
        </w:rPr>
        <w:t xml:space="preserve"> and Ross Levine. 2000 [2009]. "A New Database on Fina</w:t>
      </w:r>
      <w:r w:rsidR="007546A7">
        <w:rPr>
          <w:rFonts w:cs="Times New Roman"/>
          <w:szCs w:val="24"/>
        </w:rPr>
        <w:t>ncial Development and Structure.</w:t>
      </w:r>
      <w:r w:rsidRPr="000A58DA">
        <w:rPr>
          <w:rFonts w:cs="Times New Roman"/>
          <w:szCs w:val="24"/>
        </w:rPr>
        <w:t xml:space="preserve">" </w:t>
      </w:r>
      <w:r w:rsidRPr="000A58DA">
        <w:rPr>
          <w:rFonts w:cs="Times New Roman"/>
          <w:i/>
          <w:iCs/>
          <w:szCs w:val="24"/>
        </w:rPr>
        <w:t>World Bank Economic Review</w:t>
      </w:r>
      <w:r w:rsidRPr="000A58DA">
        <w:rPr>
          <w:rFonts w:cs="Times New Roman"/>
          <w:szCs w:val="24"/>
        </w:rPr>
        <w:t xml:space="preserve"> 14, 597-605. Dataset update of May 2009, available from the World Bank.</w:t>
      </w:r>
    </w:p>
    <w:p w:rsidR="00151BCF" w:rsidRPr="000A58DA" w:rsidRDefault="00151BCF" w:rsidP="000F0D08">
      <w:pPr>
        <w:pStyle w:val="Header"/>
        <w:spacing w:line="480" w:lineRule="auto"/>
        <w:ind w:left="432" w:hanging="432"/>
        <w:rPr>
          <w:rFonts w:cs="Times New Roman"/>
          <w:szCs w:val="24"/>
        </w:rPr>
      </w:pPr>
      <w:r w:rsidRPr="000A58DA">
        <w:rPr>
          <w:rFonts w:cs="Times New Roman"/>
          <w:szCs w:val="24"/>
        </w:rPr>
        <w:t xml:space="preserve">Bernhard, William, J. Lawrence Broz, and William Roberts Clark, eds.  2003.  </w:t>
      </w:r>
      <w:r w:rsidRPr="000A58DA">
        <w:rPr>
          <w:rFonts w:cs="Times New Roman"/>
          <w:i/>
          <w:iCs/>
          <w:szCs w:val="24"/>
        </w:rPr>
        <w:t>The Political Economy of Monetary Institutions</w:t>
      </w:r>
      <w:r w:rsidRPr="000A58DA">
        <w:rPr>
          <w:rFonts w:cs="Times New Roman"/>
          <w:szCs w:val="24"/>
        </w:rPr>
        <w:t>, Cambridge, MA: MIT Press.</w:t>
      </w:r>
    </w:p>
    <w:p w:rsidR="00151BCF" w:rsidRPr="000A58DA" w:rsidRDefault="00151BCF" w:rsidP="000F0D08">
      <w:pPr>
        <w:spacing w:line="480" w:lineRule="auto"/>
        <w:ind w:left="432" w:hanging="432"/>
        <w:rPr>
          <w:rFonts w:cs="Times New Roman"/>
          <w:szCs w:val="24"/>
        </w:rPr>
      </w:pPr>
      <w:r w:rsidRPr="000A58DA">
        <w:rPr>
          <w:rFonts w:cs="Times New Roman"/>
          <w:szCs w:val="24"/>
        </w:rPr>
        <w:lastRenderedPageBreak/>
        <w:t>Biller, David. 2012. “</w:t>
      </w:r>
      <w:proofErr w:type="spellStart"/>
      <w:r w:rsidRPr="000A58DA">
        <w:rPr>
          <w:rFonts w:cs="Times New Roman"/>
          <w:szCs w:val="24"/>
        </w:rPr>
        <w:t>Rousseff’s</w:t>
      </w:r>
      <w:proofErr w:type="spellEnd"/>
      <w:r w:rsidRPr="000A58DA">
        <w:rPr>
          <w:rFonts w:cs="Times New Roman"/>
          <w:szCs w:val="24"/>
        </w:rPr>
        <w:t xml:space="preserve"> Stimulus Measures to Spur Brazil Eco</w:t>
      </w:r>
      <w:r w:rsidR="007546A7">
        <w:rPr>
          <w:rFonts w:cs="Times New Roman"/>
          <w:szCs w:val="24"/>
        </w:rPr>
        <w:t>nomy: Timeline.</w:t>
      </w:r>
      <w:r w:rsidRPr="000A58DA">
        <w:rPr>
          <w:rFonts w:cs="Times New Roman"/>
          <w:szCs w:val="24"/>
        </w:rPr>
        <w:t xml:space="preserve">” </w:t>
      </w:r>
      <w:r w:rsidRPr="000A58DA">
        <w:rPr>
          <w:rFonts w:cs="Times New Roman"/>
          <w:i/>
          <w:szCs w:val="24"/>
        </w:rPr>
        <w:t xml:space="preserve">Bloomberg, </w:t>
      </w:r>
      <w:r w:rsidRPr="000A58DA">
        <w:rPr>
          <w:rFonts w:cs="Times New Roman"/>
          <w:szCs w:val="24"/>
        </w:rPr>
        <w:t>December 6.</w:t>
      </w:r>
    </w:p>
    <w:p w:rsidR="00151BCF" w:rsidRPr="000A58DA" w:rsidRDefault="00151BCF" w:rsidP="000F0D08">
      <w:pPr>
        <w:spacing w:line="480" w:lineRule="auto"/>
        <w:ind w:left="432" w:hanging="432"/>
        <w:rPr>
          <w:rFonts w:cs="Times New Roman"/>
          <w:szCs w:val="24"/>
        </w:rPr>
      </w:pPr>
      <w:proofErr w:type="spellStart"/>
      <w:r w:rsidRPr="000A58DA">
        <w:rPr>
          <w:rFonts w:cs="Times New Roman"/>
          <w:szCs w:val="24"/>
        </w:rPr>
        <w:t>Bonney</w:t>
      </w:r>
      <w:proofErr w:type="spellEnd"/>
      <w:r w:rsidRPr="000A58DA">
        <w:rPr>
          <w:rFonts w:cs="Times New Roman"/>
          <w:szCs w:val="24"/>
        </w:rPr>
        <w:t xml:space="preserve">, Richard, ed.  1995.  </w:t>
      </w:r>
      <w:r w:rsidRPr="000A58DA">
        <w:rPr>
          <w:rFonts w:cs="Times New Roman"/>
          <w:i/>
          <w:szCs w:val="24"/>
        </w:rPr>
        <w:t>Eco</w:t>
      </w:r>
      <w:r w:rsidR="007546A7">
        <w:rPr>
          <w:rFonts w:cs="Times New Roman"/>
          <w:i/>
          <w:szCs w:val="24"/>
        </w:rPr>
        <w:t>nomic Systems and State Finance.</w:t>
      </w:r>
      <w:r w:rsidRPr="000A58DA">
        <w:rPr>
          <w:rFonts w:cs="Times New Roman"/>
          <w:i/>
          <w:szCs w:val="24"/>
        </w:rPr>
        <w:t xml:space="preserve"> </w:t>
      </w:r>
      <w:r w:rsidRPr="000A58DA">
        <w:rPr>
          <w:rFonts w:cs="Times New Roman"/>
          <w:szCs w:val="24"/>
        </w:rPr>
        <w:t>Oxford: Oxford University Press.</w:t>
      </w:r>
    </w:p>
    <w:p w:rsidR="00151BCF" w:rsidRPr="000A58DA" w:rsidRDefault="00151BCF" w:rsidP="000F0D08">
      <w:pPr>
        <w:autoSpaceDE w:val="0"/>
        <w:autoSpaceDN w:val="0"/>
        <w:adjustRightInd w:val="0"/>
        <w:spacing w:line="480" w:lineRule="auto"/>
        <w:ind w:left="432" w:hanging="432"/>
        <w:rPr>
          <w:rFonts w:cs="Times New Roman"/>
          <w:szCs w:val="24"/>
        </w:rPr>
      </w:pPr>
      <w:proofErr w:type="spellStart"/>
      <w:r w:rsidRPr="000A58DA">
        <w:rPr>
          <w:rFonts w:cs="Times New Roman"/>
          <w:szCs w:val="24"/>
        </w:rPr>
        <w:t>Bresser</w:t>
      </w:r>
      <w:proofErr w:type="spellEnd"/>
      <w:r w:rsidRPr="000A58DA">
        <w:rPr>
          <w:rFonts w:cs="Times New Roman"/>
          <w:szCs w:val="24"/>
        </w:rPr>
        <w:t xml:space="preserve">-Pereira, </w:t>
      </w:r>
      <w:proofErr w:type="spellStart"/>
      <w:r w:rsidRPr="000A58DA">
        <w:rPr>
          <w:rFonts w:cs="Times New Roman"/>
          <w:szCs w:val="24"/>
        </w:rPr>
        <w:t>Luiz</w:t>
      </w:r>
      <w:proofErr w:type="spellEnd"/>
      <w:r w:rsidRPr="000A58DA">
        <w:rPr>
          <w:rFonts w:cs="Times New Roman"/>
          <w:szCs w:val="24"/>
        </w:rPr>
        <w:t xml:space="preserve"> Carlos. 2009. “From Old to New </w:t>
      </w:r>
      <w:proofErr w:type="spellStart"/>
      <w:r w:rsidRPr="000A58DA">
        <w:rPr>
          <w:rFonts w:cs="Times New Roman"/>
          <w:szCs w:val="24"/>
        </w:rPr>
        <w:t>De</w:t>
      </w:r>
      <w:r w:rsidR="007546A7">
        <w:rPr>
          <w:rFonts w:cs="Times New Roman"/>
          <w:szCs w:val="24"/>
        </w:rPr>
        <w:t>velopmentalism</w:t>
      </w:r>
      <w:proofErr w:type="spellEnd"/>
      <w:r w:rsidR="007546A7">
        <w:rPr>
          <w:rFonts w:cs="Times New Roman"/>
          <w:szCs w:val="24"/>
        </w:rPr>
        <w:t xml:space="preserve"> in Latin America.” I</w:t>
      </w:r>
      <w:r w:rsidRPr="000A58DA">
        <w:rPr>
          <w:rFonts w:cs="Times New Roman"/>
          <w:szCs w:val="24"/>
        </w:rPr>
        <w:t xml:space="preserve">n José Antonio </w:t>
      </w:r>
      <w:proofErr w:type="spellStart"/>
      <w:r w:rsidRPr="000A58DA">
        <w:rPr>
          <w:rFonts w:cs="Times New Roman"/>
          <w:szCs w:val="24"/>
        </w:rPr>
        <w:t>Ocampo</w:t>
      </w:r>
      <w:proofErr w:type="spellEnd"/>
      <w:r w:rsidRPr="000A58DA">
        <w:rPr>
          <w:rFonts w:cs="Times New Roman"/>
          <w:szCs w:val="24"/>
        </w:rPr>
        <w:t xml:space="preserve">, ed., </w:t>
      </w:r>
      <w:r w:rsidRPr="000A58DA">
        <w:rPr>
          <w:rFonts w:cs="Times New Roman"/>
          <w:i/>
          <w:iCs/>
          <w:szCs w:val="24"/>
        </w:rPr>
        <w:t>Handbook of Latin America Economics</w:t>
      </w:r>
      <w:r w:rsidR="007546A7">
        <w:rPr>
          <w:rFonts w:cs="Times New Roman"/>
          <w:i/>
          <w:iCs/>
          <w:szCs w:val="24"/>
        </w:rPr>
        <w:t xml:space="preserve">. </w:t>
      </w:r>
      <w:r w:rsidR="007546A7">
        <w:rPr>
          <w:rFonts w:cs="Times New Roman"/>
          <w:iCs/>
          <w:szCs w:val="24"/>
        </w:rPr>
        <w:t>New York:</w:t>
      </w:r>
      <w:r w:rsidRPr="000A58DA">
        <w:rPr>
          <w:rFonts w:cs="Times New Roman"/>
          <w:i/>
          <w:iCs/>
          <w:szCs w:val="24"/>
        </w:rPr>
        <w:t xml:space="preserve"> </w:t>
      </w:r>
      <w:r w:rsidR="007546A7">
        <w:rPr>
          <w:rFonts w:cs="Times New Roman"/>
          <w:szCs w:val="24"/>
        </w:rPr>
        <w:t>Oxford University Press</w:t>
      </w:r>
      <w:r w:rsidRPr="000A58DA">
        <w:rPr>
          <w:rFonts w:cs="Times New Roman"/>
          <w:szCs w:val="24"/>
        </w:rPr>
        <w:t xml:space="preserve">. </w:t>
      </w:r>
    </w:p>
    <w:p w:rsidR="00151BCF" w:rsidRPr="000A58DA" w:rsidRDefault="00151BCF" w:rsidP="000F0D08">
      <w:pPr>
        <w:spacing w:line="480" w:lineRule="auto"/>
        <w:ind w:left="432" w:hanging="432"/>
        <w:rPr>
          <w:rFonts w:cs="Times New Roman"/>
          <w:szCs w:val="24"/>
          <w:lang w:val="pt-BR"/>
        </w:rPr>
      </w:pPr>
      <w:r w:rsidRPr="000A58DA">
        <w:rPr>
          <w:rFonts w:cs="Times New Roman"/>
          <w:szCs w:val="24"/>
          <w:lang w:val="pt-BR"/>
        </w:rPr>
        <w:t xml:space="preserve">Burges, Sean W. 2009. </w:t>
      </w:r>
      <w:r w:rsidRPr="000A58DA">
        <w:rPr>
          <w:rFonts w:cs="Times New Roman"/>
          <w:i/>
          <w:szCs w:val="24"/>
          <w:lang w:val="pt-BR"/>
        </w:rPr>
        <w:t xml:space="preserve">Brazilian Foreign Policy After the Cold War. </w:t>
      </w:r>
      <w:r w:rsidRPr="000A58DA">
        <w:rPr>
          <w:rFonts w:cs="Times New Roman"/>
          <w:szCs w:val="24"/>
          <w:lang w:val="pt-BR"/>
        </w:rPr>
        <w:t>Gainesville: University Press of Florida.</w:t>
      </w:r>
    </w:p>
    <w:p w:rsidR="007C3029" w:rsidRPr="001059E7" w:rsidRDefault="007C3029" w:rsidP="000F0D08">
      <w:pPr>
        <w:autoSpaceDE w:val="0"/>
        <w:autoSpaceDN w:val="0"/>
        <w:adjustRightInd w:val="0"/>
        <w:spacing w:line="480" w:lineRule="auto"/>
        <w:ind w:left="432" w:hanging="432"/>
        <w:rPr>
          <w:rFonts w:cs="Times New Roman"/>
          <w:iCs/>
          <w:szCs w:val="24"/>
        </w:rPr>
      </w:pPr>
      <w:r>
        <w:rPr>
          <w:rFonts w:cs="Times New Roman"/>
          <w:iCs/>
          <w:szCs w:val="24"/>
        </w:rPr>
        <w:t>Campos,</w:t>
      </w:r>
      <w:r w:rsidR="001059E7">
        <w:rPr>
          <w:rFonts w:cs="Times New Roman"/>
          <w:iCs/>
          <w:szCs w:val="24"/>
        </w:rPr>
        <w:t xml:space="preserve"> Eduardo. 2013. “BNDES </w:t>
      </w:r>
      <w:proofErr w:type="spellStart"/>
      <w:r w:rsidR="001059E7">
        <w:rPr>
          <w:rFonts w:cs="Times New Roman"/>
          <w:iCs/>
          <w:szCs w:val="24"/>
        </w:rPr>
        <w:t>empres</w:t>
      </w:r>
      <w:r w:rsidR="007546A7">
        <w:rPr>
          <w:rFonts w:cs="Times New Roman"/>
          <w:iCs/>
          <w:szCs w:val="24"/>
        </w:rPr>
        <w:t>ta</w:t>
      </w:r>
      <w:proofErr w:type="spellEnd"/>
      <w:r w:rsidR="007546A7">
        <w:rPr>
          <w:rFonts w:cs="Times New Roman"/>
          <w:iCs/>
          <w:szCs w:val="24"/>
        </w:rPr>
        <w:t xml:space="preserve"> e </w:t>
      </w:r>
      <w:proofErr w:type="spellStart"/>
      <w:r w:rsidR="007546A7">
        <w:rPr>
          <w:rFonts w:cs="Times New Roman"/>
          <w:iCs/>
          <w:szCs w:val="24"/>
        </w:rPr>
        <w:t>Eletrobras</w:t>
      </w:r>
      <w:proofErr w:type="spellEnd"/>
      <w:r w:rsidR="007546A7">
        <w:rPr>
          <w:rFonts w:cs="Times New Roman"/>
          <w:iCs/>
          <w:szCs w:val="24"/>
        </w:rPr>
        <w:t xml:space="preserve"> </w:t>
      </w:r>
      <w:proofErr w:type="spellStart"/>
      <w:r w:rsidR="007546A7">
        <w:rPr>
          <w:rFonts w:cs="Times New Roman"/>
          <w:iCs/>
          <w:szCs w:val="24"/>
        </w:rPr>
        <w:t>paga</w:t>
      </w:r>
      <w:proofErr w:type="spellEnd"/>
      <w:r w:rsidR="007546A7">
        <w:rPr>
          <w:rFonts w:cs="Times New Roman"/>
          <w:iCs/>
          <w:szCs w:val="24"/>
        </w:rPr>
        <w:t xml:space="preserve"> </w:t>
      </w:r>
      <w:proofErr w:type="spellStart"/>
      <w:r w:rsidR="007546A7">
        <w:rPr>
          <w:rFonts w:cs="Times New Roman"/>
          <w:iCs/>
          <w:szCs w:val="24"/>
        </w:rPr>
        <w:t>dividendos</w:t>
      </w:r>
      <w:proofErr w:type="spellEnd"/>
      <w:r w:rsidR="007546A7">
        <w:rPr>
          <w:rFonts w:cs="Times New Roman"/>
          <w:iCs/>
          <w:szCs w:val="24"/>
        </w:rPr>
        <w:t>.</w:t>
      </w:r>
      <w:r w:rsidR="001059E7">
        <w:rPr>
          <w:rFonts w:cs="Times New Roman"/>
          <w:iCs/>
          <w:szCs w:val="24"/>
        </w:rPr>
        <w:t xml:space="preserve">” </w:t>
      </w:r>
      <w:r w:rsidR="001059E7">
        <w:rPr>
          <w:rFonts w:cs="Times New Roman"/>
          <w:i/>
          <w:iCs/>
          <w:szCs w:val="24"/>
        </w:rPr>
        <w:t xml:space="preserve">Valor </w:t>
      </w:r>
      <w:proofErr w:type="spellStart"/>
      <w:r w:rsidR="001059E7">
        <w:rPr>
          <w:rFonts w:cs="Times New Roman"/>
          <w:i/>
          <w:iCs/>
          <w:szCs w:val="24"/>
        </w:rPr>
        <w:t>Econômico</w:t>
      </w:r>
      <w:proofErr w:type="spellEnd"/>
      <w:r w:rsidR="001059E7">
        <w:rPr>
          <w:rFonts w:cs="Times New Roman"/>
          <w:i/>
          <w:iCs/>
          <w:szCs w:val="24"/>
        </w:rPr>
        <w:t xml:space="preserve">, </w:t>
      </w:r>
      <w:r w:rsidR="001059E7">
        <w:rPr>
          <w:rFonts w:cs="Times New Roman"/>
          <w:iCs/>
          <w:szCs w:val="24"/>
        </w:rPr>
        <w:t>July 10.</w:t>
      </w:r>
    </w:p>
    <w:p w:rsidR="00151BCF" w:rsidRPr="000A58DA" w:rsidRDefault="00151BCF" w:rsidP="000F0D08">
      <w:pPr>
        <w:autoSpaceDE w:val="0"/>
        <w:autoSpaceDN w:val="0"/>
        <w:adjustRightInd w:val="0"/>
        <w:spacing w:line="480" w:lineRule="auto"/>
        <w:ind w:left="432" w:hanging="432"/>
        <w:rPr>
          <w:rFonts w:cs="Times New Roman"/>
          <w:iCs/>
          <w:szCs w:val="24"/>
        </w:rPr>
      </w:pPr>
      <w:proofErr w:type="spellStart"/>
      <w:r w:rsidRPr="000A58DA">
        <w:rPr>
          <w:rFonts w:cs="Times New Roman"/>
          <w:iCs/>
          <w:szCs w:val="24"/>
        </w:rPr>
        <w:t>Canuto</w:t>
      </w:r>
      <w:proofErr w:type="spellEnd"/>
      <w:r w:rsidRPr="000A58DA">
        <w:rPr>
          <w:rFonts w:cs="Times New Roman"/>
          <w:iCs/>
          <w:szCs w:val="24"/>
        </w:rPr>
        <w:t xml:space="preserve">, </w:t>
      </w:r>
      <w:proofErr w:type="spellStart"/>
      <w:r w:rsidRPr="000A58DA">
        <w:rPr>
          <w:rFonts w:cs="Times New Roman"/>
          <w:iCs/>
          <w:szCs w:val="24"/>
        </w:rPr>
        <w:t>Octaviano</w:t>
      </w:r>
      <w:proofErr w:type="spellEnd"/>
      <w:r w:rsidRPr="000A58DA">
        <w:rPr>
          <w:rFonts w:cs="Times New Roman"/>
          <w:iCs/>
          <w:szCs w:val="24"/>
        </w:rPr>
        <w:t xml:space="preserve">, </w:t>
      </w:r>
      <w:proofErr w:type="spellStart"/>
      <w:r w:rsidRPr="000A58DA">
        <w:rPr>
          <w:rFonts w:cs="Times New Roman"/>
          <w:iCs/>
          <w:szCs w:val="24"/>
        </w:rPr>
        <w:t>Matheus</w:t>
      </w:r>
      <w:proofErr w:type="spellEnd"/>
      <w:r w:rsidRPr="000A58DA">
        <w:rPr>
          <w:rFonts w:cs="Times New Roman"/>
          <w:iCs/>
          <w:szCs w:val="24"/>
        </w:rPr>
        <w:t xml:space="preserve"> </w:t>
      </w:r>
      <w:proofErr w:type="spellStart"/>
      <w:r w:rsidRPr="000A58DA">
        <w:rPr>
          <w:rFonts w:cs="Times New Roman"/>
          <w:iCs/>
          <w:szCs w:val="24"/>
        </w:rPr>
        <w:t>Cavallari</w:t>
      </w:r>
      <w:proofErr w:type="spellEnd"/>
      <w:r w:rsidRPr="000A58DA">
        <w:rPr>
          <w:rFonts w:cs="Times New Roman"/>
          <w:iCs/>
          <w:szCs w:val="24"/>
        </w:rPr>
        <w:t xml:space="preserve">, and José </w:t>
      </w:r>
      <w:proofErr w:type="spellStart"/>
      <w:r w:rsidRPr="000A58DA">
        <w:rPr>
          <w:rFonts w:cs="Times New Roman"/>
          <w:iCs/>
          <w:szCs w:val="24"/>
        </w:rPr>
        <w:t>Guilherme</w:t>
      </w:r>
      <w:proofErr w:type="spellEnd"/>
      <w:r w:rsidRPr="000A58DA">
        <w:rPr>
          <w:rFonts w:cs="Times New Roman"/>
          <w:iCs/>
          <w:szCs w:val="24"/>
        </w:rPr>
        <w:t xml:space="preserve"> Reis. 2013. “The </w:t>
      </w:r>
      <w:r w:rsidR="007546A7">
        <w:rPr>
          <w:rFonts w:cs="Times New Roman"/>
          <w:iCs/>
          <w:szCs w:val="24"/>
        </w:rPr>
        <w:t>Brazilian Competitiveness Cliff.</w:t>
      </w:r>
      <w:r w:rsidRPr="000A58DA">
        <w:rPr>
          <w:rFonts w:cs="Times New Roman"/>
          <w:iCs/>
          <w:szCs w:val="24"/>
        </w:rPr>
        <w:t xml:space="preserve">” </w:t>
      </w:r>
      <w:r w:rsidRPr="000A58DA">
        <w:rPr>
          <w:rFonts w:cs="Times New Roman"/>
          <w:i/>
          <w:iCs/>
          <w:szCs w:val="24"/>
        </w:rPr>
        <w:t>Economic Premise</w:t>
      </w:r>
      <w:r w:rsidR="007546A7">
        <w:rPr>
          <w:rFonts w:cs="Times New Roman"/>
          <w:i/>
          <w:iCs/>
          <w:szCs w:val="24"/>
        </w:rPr>
        <w:t>,</w:t>
      </w:r>
      <w:r w:rsidRPr="000A58DA">
        <w:rPr>
          <w:rFonts w:cs="Times New Roman"/>
          <w:i/>
          <w:iCs/>
          <w:szCs w:val="24"/>
        </w:rPr>
        <w:t xml:space="preserve"> </w:t>
      </w:r>
      <w:r w:rsidR="007546A7">
        <w:rPr>
          <w:rFonts w:cs="Times New Roman"/>
          <w:iCs/>
          <w:szCs w:val="24"/>
        </w:rPr>
        <w:t>No.</w:t>
      </w:r>
      <w:r w:rsidRPr="000A58DA">
        <w:rPr>
          <w:rFonts w:cs="Times New Roman"/>
          <w:iCs/>
          <w:szCs w:val="24"/>
        </w:rPr>
        <w:t xml:space="preserve"> 105, Washington, D.C.: The World Bank.</w:t>
      </w:r>
    </w:p>
    <w:p w:rsidR="00151BCF" w:rsidRPr="000A58DA" w:rsidRDefault="00151BCF" w:rsidP="000F0D08">
      <w:pPr>
        <w:autoSpaceDE w:val="0"/>
        <w:autoSpaceDN w:val="0"/>
        <w:adjustRightInd w:val="0"/>
        <w:spacing w:line="480" w:lineRule="auto"/>
        <w:ind w:left="432" w:hanging="432"/>
        <w:rPr>
          <w:rFonts w:cs="Times New Roman"/>
          <w:iCs/>
          <w:szCs w:val="24"/>
        </w:rPr>
      </w:pPr>
      <w:proofErr w:type="spellStart"/>
      <w:r w:rsidRPr="000A58DA">
        <w:rPr>
          <w:rFonts w:cs="Times New Roman"/>
          <w:iCs/>
          <w:szCs w:val="24"/>
        </w:rPr>
        <w:t>Caprio</w:t>
      </w:r>
      <w:proofErr w:type="spellEnd"/>
      <w:r w:rsidRPr="000A58DA">
        <w:rPr>
          <w:rFonts w:cs="Times New Roman"/>
          <w:iCs/>
          <w:szCs w:val="24"/>
        </w:rPr>
        <w:t xml:space="preserve">, Gerard, Jonathan L. </w:t>
      </w:r>
      <w:proofErr w:type="spellStart"/>
      <w:r w:rsidRPr="000A58DA">
        <w:rPr>
          <w:rFonts w:cs="Times New Roman"/>
          <w:iCs/>
          <w:szCs w:val="24"/>
        </w:rPr>
        <w:t>Riechter</w:t>
      </w:r>
      <w:proofErr w:type="spellEnd"/>
      <w:r w:rsidRPr="000A58DA">
        <w:rPr>
          <w:rFonts w:cs="Times New Roman"/>
          <w:iCs/>
          <w:szCs w:val="24"/>
        </w:rPr>
        <w:t xml:space="preserve">, Robert E. </w:t>
      </w:r>
      <w:proofErr w:type="spellStart"/>
      <w:r w:rsidRPr="000A58DA">
        <w:rPr>
          <w:rFonts w:cs="Times New Roman"/>
          <w:iCs/>
          <w:szCs w:val="24"/>
        </w:rPr>
        <w:t>Litan</w:t>
      </w:r>
      <w:proofErr w:type="spellEnd"/>
      <w:r w:rsidRPr="000A58DA">
        <w:rPr>
          <w:rFonts w:cs="Times New Roman"/>
          <w:iCs/>
          <w:szCs w:val="24"/>
        </w:rPr>
        <w:t xml:space="preserve">, and Michael </w:t>
      </w:r>
      <w:proofErr w:type="spellStart"/>
      <w:r w:rsidRPr="000A58DA">
        <w:rPr>
          <w:rFonts w:cs="Times New Roman"/>
          <w:iCs/>
          <w:szCs w:val="24"/>
        </w:rPr>
        <w:t>Pomerleano</w:t>
      </w:r>
      <w:proofErr w:type="spellEnd"/>
      <w:r w:rsidRPr="000A58DA">
        <w:rPr>
          <w:rFonts w:cs="Times New Roman"/>
          <w:iCs/>
          <w:szCs w:val="24"/>
        </w:rPr>
        <w:t xml:space="preserve">, eds. 2005.   </w:t>
      </w:r>
      <w:r w:rsidRPr="000A58DA">
        <w:rPr>
          <w:rFonts w:cs="Times New Roman"/>
          <w:i/>
          <w:szCs w:val="24"/>
        </w:rPr>
        <w:t>The Future of State-Owned Financial Institutions</w:t>
      </w:r>
      <w:r w:rsidR="007546A7">
        <w:rPr>
          <w:rFonts w:cs="Times New Roman"/>
          <w:iCs/>
          <w:szCs w:val="24"/>
        </w:rPr>
        <w:t>.</w:t>
      </w:r>
      <w:r w:rsidRPr="000A58DA">
        <w:rPr>
          <w:rFonts w:cs="Times New Roman"/>
          <w:iCs/>
          <w:szCs w:val="24"/>
        </w:rPr>
        <w:t xml:space="preserve"> WDC: Brookings. </w:t>
      </w:r>
    </w:p>
    <w:p w:rsidR="00151BCF" w:rsidRPr="000A58DA" w:rsidRDefault="00151BCF" w:rsidP="000F0D08">
      <w:pPr>
        <w:autoSpaceDE w:val="0"/>
        <w:autoSpaceDN w:val="0"/>
        <w:adjustRightInd w:val="0"/>
        <w:spacing w:line="480" w:lineRule="auto"/>
        <w:ind w:left="432" w:hanging="432"/>
        <w:rPr>
          <w:rFonts w:cs="Times New Roman"/>
          <w:szCs w:val="24"/>
        </w:rPr>
      </w:pPr>
      <w:proofErr w:type="spellStart"/>
      <w:r w:rsidRPr="000A58DA">
        <w:rPr>
          <w:rFonts w:cs="Times New Roman"/>
          <w:szCs w:val="24"/>
        </w:rPr>
        <w:t>Castelo</w:t>
      </w:r>
      <w:proofErr w:type="spellEnd"/>
      <w:r w:rsidRPr="000A58DA">
        <w:rPr>
          <w:rFonts w:cs="Times New Roman"/>
          <w:szCs w:val="24"/>
        </w:rPr>
        <w:t xml:space="preserve">, Rodrigo. 2009. “O novo </w:t>
      </w:r>
      <w:proofErr w:type="spellStart"/>
      <w:r w:rsidRPr="000A58DA">
        <w:rPr>
          <w:rFonts w:cs="Times New Roman"/>
          <w:szCs w:val="24"/>
        </w:rPr>
        <w:t>desenvolvimentísmo</w:t>
      </w:r>
      <w:proofErr w:type="spellEnd"/>
      <w:r w:rsidRPr="000A58DA">
        <w:rPr>
          <w:rFonts w:cs="Times New Roman"/>
          <w:szCs w:val="24"/>
        </w:rPr>
        <w:t xml:space="preserve"> e a </w:t>
      </w:r>
      <w:proofErr w:type="spellStart"/>
      <w:r w:rsidRPr="000A58DA">
        <w:rPr>
          <w:rFonts w:cs="Times New Roman"/>
          <w:szCs w:val="24"/>
        </w:rPr>
        <w:t>decadência</w:t>
      </w:r>
      <w:proofErr w:type="spellEnd"/>
      <w:r w:rsidRPr="000A58DA">
        <w:rPr>
          <w:rFonts w:cs="Times New Roman"/>
          <w:szCs w:val="24"/>
        </w:rPr>
        <w:t xml:space="preserve"> </w:t>
      </w:r>
      <w:proofErr w:type="spellStart"/>
      <w:r w:rsidRPr="000A58DA">
        <w:rPr>
          <w:rFonts w:cs="Times New Roman"/>
          <w:szCs w:val="24"/>
        </w:rPr>
        <w:t>ideológica</w:t>
      </w:r>
      <w:proofErr w:type="spellEnd"/>
      <w:r w:rsidRPr="000A58DA">
        <w:rPr>
          <w:rFonts w:cs="Times New Roman"/>
          <w:szCs w:val="24"/>
        </w:rPr>
        <w:t xml:space="preserve"> do </w:t>
      </w:r>
      <w:proofErr w:type="spellStart"/>
      <w:r w:rsidR="007546A7">
        <w:rPr>
          <w:rFonts w:cs="Times New Roman"/>
          <w:szCs w:val="24"/>
        </w:rPr>
        <w:t>pensamento</w:t>
      </w:r>
      <w:proofErr w:type="spellEnd"/>
      <w:r w:rsidR="007546A7">
        <w:rPr>
          <w:rFonts w:cs="Times New Roman"/>
          <w:szCs w:val="24"/>
        </w:rPr>
        <w:t xml:space="preserve"> </w:t>
      </w:r>
      <w:proofErr w:type="spellStart"/>
      <w:r w:rsidR="007546A7">
        <w:rPr>
          <w:rFonts w:cs="Times New Roman"/>
          <w:szCs w:val="24"/>
        </w:rPr>
        <w:t>econômico</w:t>
      </w:r>
      <w:proofErr w:type="spellEnd"/>
      <w:r w:rsidR="007546A7">
        <w:rPr>
          <w:rFonts w:cs="Times New Roman"/>
          <w:szCs w:val="24"/>
        </w:rPr>
        <w:t xml:space="preserve"> </w:t>
      </w:r>
      <w:proofErr w:type="spellStart"/>
      <w:r w:rsidR="007546A7">
        <w:rPr>
          <w:rFonts w:cs="Times New Roman"/>
          <w:szCs w:val="24"/>
        </w:rPr>
        <w:t>brasileiro</w:t>
      </w:r>
      <w:proofErr w:type="spellEnd"/>
      <w:r w:rsidR="007546A7">
        <w:rPr>
          <w:rFonts w:cs="Times New Roman"/>
          <w:szCs w:val="24"/>
        </w:rPr>
        <w:t>.</w:t>
      </w:r>
      <w:r w:rsidRPr="000A58DA">
        <w:rPr>
          <w:rFonts w:cs="Times New Roman"/>
          <w:szCs w:val="24"/>
        </w:rPr>
        <w:t xml:space="preserve">” </w:t>
      </w:r>
      <w:proofErr w:type="spellStart"/>
      <w:r w:rsidRPr="000A58DA">
        <w:rPr>
          <w:rFonts w:cs="Times New Roman"/>
          <w:bCs/>
          <w:i/>
          <w:szCs w:val="24"/>
        </w:rPr>
        <w:t>Serviço</w:t>
      </w:r>
      <w:proofErr w:type="spellEnd"/>
      <w:r w:rsidRPr="000A58DA">
        <w:rPr>
          <w:rFonts w:cs="Times New Roman"/>
          <w:bCs/>
          <w:i/>
          <w:szCs w:val="24"/>
        </w:rPr>
        <w:t xml:space="preserve"> Social &amp; </w:t>
      </w:r>
      <w:proofErr w:type="spellStart"/>
      <w:r w:rsidRPr="000A58DA">
        <w:rPr>
          <w:rFonts w:cs="Times New Roman"/>
          <w:bCs/>
          <w:i/>
          <w:szCs w:val="24"/>
        </w:rPr>
        <w:t>Sociedade</w:t>
      </w:r>
      <w:proofErr w:type="spellEnd"/>
      <w:r w:rsidRPr="000A58DA">
        <w:rPr>
          <w:rFonts w:cs="Times New Roman"/>
          <w:bCs/>
          <w:szCs w:val="24"/>
        </w:rPr>
        <w:t xml:space="preserve"> 112, December, pp. 613-36.</w:t>
      </w:r>
    </w:p>
    <w:p w:rsidR="00151BCF" w:rsidRPr="000A58DA" w:rsidRDefault="00151BCF" w:rsidP="000F0D08">
      <w:pPr>
        <w:spacing w:line="480" w:lineRule="auto"/>
        <w:ind w:left="432" w:hanging="432"/>
        <w:rPr>
          <w:rFonts w:cs="Times New Roman"/>
          <w:szCs w:val="24"/>
        </w:rPr>
      </w:pPr>
      <w:r w:rsidRPr="000A58DA">
        <w:rPr>
          <w:rFonts w:cs="Times New Roman"/>
          <w:szCs w:val="24"/>
        </w:rPr>
        <w:t>Costas, Ruth. 2012. “</w:t>
      </w:r>
      <w:proofErr w:type="spellStart"/>
      <w:r w:rsidRPr="000A58DA">
        <w:rPr>
          <w:rFonts w:cs="Times New Roman"/>
          <w:szCs w:val="24"/>
        </w:rPr>
        <w:t>Aos</w:t>
      </w:r>
      <w:proofErr w:type="spellEnd"/>
      <w:r w:rsidRPr="000A58DA">
        <w:rPr>
          <w:rFonts w:cs="Times New Roman"/>
          <w:szCs w:val="24"/>
        </w:rPr>
        <w:t xml:space="preserve"> 60 </w:t>
      </w:r>
      <w:proofErr w:type="spellStart"/>
      <w:r w:rsidRPr="000A58DA">
        <w:rPr>
          <w:rFonts w:cs="Times New Roman"/>
          <w:szCs w:val="24"/>
        </w:rPr>
        <w:t>anos</w:t>
      </w:r>
      <w:proofErr w:type="spellEnd"/>
      <w:r w:rsidRPr="000A58DA">
        <w:rPr>
          <w:rFonts w:cs="Times New Roman"/>
          <w:szCs w:val="24"/>
        </w:rPr>
        <w:t xml:space="preserve">, ‘BNDES do </w:t>
      </w:r>
      <w:proofErr w:type="spellStart"/>
      <w:r w:rsidRPr="000A58DA">
        <w:rPr>
          <w:rFonts w:cs="Times New Roman"/>
          <w:szCs w:val="24"/>
        </w:rPr>
        <w:t>século</w:t>
      </w:r>
      <w:proofErr w:type="spellEnd"/>
      <w:r w:rsidRPr="000A58DA">
        <w:rPr>
          <w:rFonts w:cs="Times New Roman"/>
          <w:szCs w:val="24"/>
        </w:rPr>
        <w:t xml:space="preserve"> 21’ </w:t>
      </w:r>
      <w:proofErr w:type="spellStart"/>
      <w:r w:rsidRPr="000A58DA">
        <w:rPr>
          <w:rFonts w:cs="Times New Roman"/>
          <w:szCs w:val="24"/>
        </w:rPr>
        <w:t>atrai</w:t>
      </w:r>
      <w:proofErr w:type="spellEnd"/>
      <w:r w:rsidRPr="000A58DA">
        <w:rPr>
          <w:rFonts w:cs="Times New Roman"/>
          <w:szCs w:val="24"/>
        </w:rPr>
        <w:t xml:space="preserve"> </w:t>
      </w:r>
      <w:proofErr w:type="spellStart"/>
      <w:r w:rsidRPr="000A58DA">
        <w:rPr>
          <w:rFonts w:cs="Times New Roman"/>
          <w:szCs w:val="24"/>
        </w:rPr>
        <w:t>po</w:t>
      </w:r>
      <w:r w:rsidR="007546A7">
        <w:rPr>
          <w:rFonts w:cs="Times New Roman"/>
          <w:szCs w:val="24"/>
        </w:rPr>
        <w:t>lêmicas</w:t>
      </w:r>
      <w:proofErr w:type="spellEnd"/>
      <w:r w:rsidR="007546A7">
        <w:rPr>
          <w:rFonts w:cs="Times New Roman"/>
          <w:szCs w:val="24"/>
        </w:rPr>
        <w:t xml:space="preserve"> e </w:t>
      </w:r>
      <w:proofErr w:type="spellStart"/>
      <w:r w:rsidR="007546A7">
        <w:rPr>
          <w:rFonts w:cs="Times New Roman"/>
          <w:szCs w:val="24"/>
        </w:rPr>
        <w:t>atençao</w:t>
      </w:r>
      <w:proofErr w:type="spellEnd"/>
      <w:r w:rsidR="007546A7">
        <w:rPr>
          <w:rFonts w:cs="Times New Roman"/>
          <w:szCs w:val="24"/>
        </w:rPr>
        <w:t xml:space="preserve"> </w:t>
      </w:r>
      <w:proofErr w:type="spellStart"/>
      <w:r w:rsidR="007546A7">
        <w:rPr>
          <w:rFonts w:cs="Times New Roman"/>
          <w:szCs w:val="24"/>
        </w:rPr>
        <w:t>internacional</w:t>
      </w:r>
      <w:proofErr w:type="spellEnd"/>
      <w:r w:rsidR="007546A7">
        <w:rPr>
          <w:rFonts w:cs="Times New Roman"/>
          <w:szCs w:val="24"/>
        </w:rPr>
        <w:t>.</w:t>
      </w:r>
      <w:r w:rsidRPr="000A58DA">
        <w:rPr>
          <w:rFonts w:cs="Times New Roman"/>
          <w:szCs w:val="24"/>
        </w:rPr>
        <w:t xml:space="preserve">” </w:t>
      </w:r>
      <w:r w:rsidRPr="000A58DA">
        <w:rPr>
          <w:rFonts w:cs="Times New Roman"/>
          <w:i/>
          <w:szCs w:val="24"/>
        </w:rPr>
        <w:t xml:space="preserve">BBC </w:t>
      </w:r>
      <w:proofErr w:type="spellStart"/>
      <w:r w:rsidRPr="000A58DA">
        <w:rPr>
          <w:rFonts w:cs="Times New Roman"/>
          <w:i/>
          <w:szCs w:val="24"/>
        </w:rPr>
        <w:t>Brasil</w:t>
      </w:r>
      <w:proofErr w:type="spellEnd"/>
      <w:r w:rsidRPr="000A58DA">
        <w:rPr>
          <w:rFonts w:cs="Times New Roman"/>
          <w:i/>
          <w:szCs w:val="24"/>
        </w:rPr>
        <w:t xml:space="preserve">, </w:t>
      </w:r>
      <w:r w:rsidRPr="000A58DA">
        <w:rPr>
          <w:rFonts w:cs="Times New Roman"/>
          <w:szCs w:val="24"/>
        </w:rPr>
        <w:t>August 20.</w:t>
      </w:r>
    </w:p>
    <w:p w:rsidR="00151BCF" w:rsidRPr="000A58DA" w:rsidRDefault="00151BCF" w:rsidP="000F0D08">
      <w:pPr>
        <w:spacing w:line="480" w:lineRule="auto"/>
        <w:ind w:left="432" w:hanging="432"/>
        <w:rPr>
          <w:rFonts w:cs="Times New Roman"/>
          <w:szCs w:val="24"/>
        </w:rPr>
      </w:pPr>
      <w:proofErr w:type="spellStart"/>
      <w:r w:rsidRPr="000A58DA">
        <w:rPr>
          <w:rFonts w:cs="Times New Roman"/>
          <w:szCs w:val="24"/>
        </w:rPr>
        <w:t>Cretoiu</w:t>
      </w:r>
      <w:proofErr w:type="spellEnd"/>
      <w:r w:rsidRPr="000A58DA">
        <w:rPr>
          <w:rFonts w:cs="Times New Roman"/>
          <w:szCs w:val="24"/>
        </w:rPr>
        <w:t xml:space="preserve">, S.L.,L.L. </w:t>
      </w:r>
      <w:proofErr w:type="spellStart"/>
      <w:r w:rsidRPr="000A58DA">
        <w:rPr>
          <w:rFonts w:cs="Times New Roman"/>
          <w:szCs w:val="24"/>
        </w:rPr>
        <w:t>Barakat</w:t>
      </w:r>
      <w:proofErr w:type="spellEnd"/>
      <w:r w:rsidRPr="000A58DA">
        <w:rPr>
          <w:rFonts w:cs="Times New Roman"/>
          <w:szCs w:val="24"/>
        </w:rPr>
        <w:t xml:space="preserve">, V.S. </w:t>
      </w:r>
      <w:proofErr w:type="spellStart"/>
      <w:r w:rsidRPr="000A58DA">
        <w:rPr>
          <w:rFonts w:cs="Times New Roman"/>
          <w:szCs w:val="24"/>
        </w:rPr>
        <w:t>Nogueira</w:t>
      </w:r>
      <w:proofErr w:type="spellEnd"/>
      <w:r w:rsidRPr="000A58DA">
        <w:rPr>
          <w:rFonts w:cs="Times New Roman"/>
          <w:szCs w:val="24"/>
        </w:rPr>
        <w:t xml:space="preserve">, and L.M. </w:t>
      </w:r>
      <w:proofErr w:type="spellStart"/>
      <w:r w:rsidRPr="000A58DA">
        <w:rPr>
          <w:rFonts w:cs="Times New Roman"/>
          <w:szCs w:val="24"/>
        </w:rPr>
        <w:t>Diniz</w:t>
      </w:r>
      <w:proofErr w:type="spellEnd"/>
      <w:r w:rsidRPr="000A58DA">
        <w:rPr>
          <w:rFonts w:cs="Times New Roman"/>
          <w:szCs w:val="24"/>
        </w:rPr>
        <w:t xml:space="preserve">. 2012. “Ranking FDC das </w:t>
      </w:r>
      <w:proofErr w:type="spellStart"/>
      <w:r w:rsidR="007546A7">
        <w:rPr>
          <w:rFonts w:cs="Times New Roman"/>
          <w:szCs w:val="24"/>
        </w:rPr>
        <w:t>Transnacionais</w:t>
      </w:r>
      <w:proofErr w:type="spellEnd"/>
      <w:r w:rsidR="007546A7">
        <w:rPr>
          <w:rFonts w:cs="Times New Roman"/>
          <w:szCs w:val="24"/>
        </w:rPr>
        <w:t xml:space="preserve"> </w:t>
      </w:r>
      <w:proofErr w:type="spellStart"/>
      <w:r w:rsidR="007546A7">
        <w:rPr>
          <w:rFonts w:cs="Times New Roman"/>
          <w:szCs w:val="24"/>
        </w:rPr>
        <w:t>Brasileiras</w:t>
      </w:r>
      <w:proofErr w:type="spellEnd"/>
      <w:r w:rsidR="007546A7">
        <w:rPr>
          <w:rFonts w:cs="Times New Roman"/>
          <w:szCs w:val="24"/>
        </w:rPr>
        <w:t xml:space="preserve"> 2012.</w:t>
      </w:r>
      <w:r w:rsidRPr="000A58DA">
        <w:rPr>
          <w:rFonts w:cs="Times New Roman"/>
          <w:szCs w:val="24"/>
        </w:rPr>
        <w:t xml:space="preserve">” </w:t>
      </w:r>
      <w:proofErr w:type="spellStart"/>
      <w:r w:rsidRPr="000A58DA">
        <w:rPr>
          <w:rFonts w:cs="Times New Roman"/>
          <w:i/>
          <w:szCs w:val="24"/>
        </w:rPr>
        <w:t>Caderno</w:t>
      </w:r>
      <w:proofErr w:type="spellEnd"/>
      <w:r w:rsidRPr="000A58DA">
        <w:rPr>
          <w:rFonts w:cs="Times New Roman"/>
          <w:i/>
          <w:szCs w:val="24"/>
        </w:rPr>
        <w:t xml:space="preserve"> de Ideas </w:t>
      </w:r>
      <w:r w:rsidRPr="000A58DA">
        <w:rPr>
          <w:rFonts w:cs="Times New Roman"/>
          <w:szCs w:val="24"/>
        </w:rPr>
        <w:t xml:space="preserve">CI 1215. Nova Lima, MG: </w:t>
      </w:r>
      <w:proofErr w:type="spellStart"/>
      <w:r w:rsidRPr="000A58DA">
        <w:rPr>
          <w:rFonts w:cs="Times New Roman"/>
          <w:szCs w:val="24"/>
        </w:rPr>
        <w:t>Fundação</w:t>
      </w:r>
      <w:proofErr w:type="spellEnd"/>
      <w:r w:rsidRPr="000A58DA">
        <w:rPr>
          <w:rFonts w:cs="Times New Roman"/>
          <w:szCs w:val="24"/>
        </w:rPr>
        <w:t xml:space="preserve"> Dom Cabral.</w:t>
      </w:r>
    </w:p>
    <w:p w:rsidR="00151BCF" w:rsidRDefault="00151BCF" w:rsidP="000F0D08">
      <w:pPr>
        <w:spacing w:line="480" w:lineRule="auto"/>
        <w:ind w:left="432" w:hanging="432"/>
        <w:rPr>
          <w:rFonts w:cs="Times New Roman"/>
          <w:szCs w:val="24"/>
        </w:rPr>
      </w:pPr>
      <w:r>
        <w:rPr>
          <w:rFonts w:cs="Times New Roman"/>
          <w:szCs w:val="24"/>
        </w:rPr>
        <w:lastRenderedPageBreak/>
        <w:t xml:space="preserve">Doctor, </w:t>
      </w:r>
      <w:proofErr w:type="spellStart"/>
      <w:r>
        <w:rPr>
          <w:rFonts w:cs="Times New Roman"/>
          <w:szCs w:val="24"/>
        </w:rPr>
        <w:t>Mahrukh</w:t>
      </w:r>
      <w:proofErr w:type="spellEnd"/>
      <w:r>
        <w:rPr>
          <w:rFonts w:cs="Times New Roman"/>
          <w:szCs w:val="24"/>
        </w:rPr>
        <w:t>. 2013. “Assessing the Changing Roles of the Brazilian Development Bank.” Revision of paper presented at Annual Meeting of the Latin American Studies Association, Washington, D.C., May 29-June 1.</w:t>
      </w:r>
    </w:p>
    <w:p w:rsidR="00151BCF" w:rsidRPr="000A58DA" w:rsidRDefault="00151BCF" w:rsidP="000F0D08">
      <w:pPr>
        <w:spacing w:line="480" w:lineRule="auto"/>
        <w:ind w:left="432" w:hanging="432"/>
        <w:rPr>
          <w:rFonts w:cs="Times New Roman"/>
          <w:szCs w:val="24"/>
        </w:rPr>
      </w:pPr>
      <w:r w:rsidRPr="000A58DA">
        <w:rPr>
          <w:rFonts w:cs="Times New Roman"/>
          <w:szCs w:val="24"/>
        </w:rPr>
        <w:t xml:space="preserve">Epstein, Gerald.  1992.  “Political Economy </w:t>
      </w:r>
      <w:r w:rsidR="007546A7">
        <w:rPr>
          <w:rFonts w:cs="Times New Roman"/>
          <w:szCs w:val="24"/>
        </w:rPr>
        <w:t>and Comparative Central Banking.</w:t>
      </w:r>
      <w:r w:rsidRPr="000A58DA">
        <w:rPr>
          <w:rFonts w:cs="Times New Roman"/>
          <w:szCs w:val="24"/>
        </w:rPr>
        <w:t xml:space="preserve">” </w:t>
      </w:r>
      <w:r w:rsidRPr="000A58DA">
        <w:rPr>
          <w:rFonts w:cs="Times New Roman"/>
          <w:i/>
          <w:iCs/>
          <w:szCs w:val="24"/>
        </w:rPr>
        <w:t xml:space="preserve">Review of Radical Political Economics, </w:t>
      </w:r>
      <w:r w:rsidRPr="000A58DA">
        <w:rPr>
          <w:rFonts w:cs="Times New Roman"/>
          <w:szCs w:val="24"/>
        </w:rPr>
        <w:t>24:1, pp. 1-30.</w:t>
      </w:r>
    </w:p>
    <w:p w:rsidR="00151BCF" w:rsidRPr="000A58DA" w:rsidRDefault="00151BCF" w:rsidP="000F0D08">
      <w:pPr>
        <w:spacing w:line="480" w:lineRule="auto"/>
        <w:ind w:left="432" w:hanging="432"/>
        <w:rPr>
          <w:rFonts w:cs="Times New Roman"/>
          <w:szCs w:val="24"/>
        </w:rPr>
      </w:pPr>
      <w:r w:rsidRPr="000A58DA">
        <w:rPr>
          <w:rFonts w:cs="Times New Roman"/>
          <w:i/>
          <w:szCs w:val="24"/>
        </w:rPr>
        <w:t>Estado de São Paulo [ESP].</w:t>
      </w:r>
      <w:r w:rsidRPr="000A58DA">
        <w:rPr>
          <w:rFonts w:cs="Times New Roman"/>
          <w:szCs w:val="24"/>
        </w:rPr>
        <w:t xml:space="preserve"> 2012.</w:t>
      </w:r>
      <w:r w:rsidRPr="000A58DA">
        <w:rPr>
          <w:rFonts w:cs="Times New Roman"/>
          <w:i/>
          <w:szCs w:val="24"/>
        </w:rPr>
        <w:t xml:space="preserve"> </w:t>
      </w:r>
      <w:r w:rsidRPr="000A58DA">
        <w:rPr>
          <w:rFonts w:cs="Times New Roman"/>
          <w:szCs w:val="24"/>
        </w:rPr>
        <w:t>“</w:t>
      </w:r>
      <w:proofErr w:type="spellStart"/>
      <w:r w:rsidRPr="000A58DA">
        <w:rPr>
          <w:rFonts w:cs="Times New Roman"/>
          <w:szCs w:val="24"/>
        </w:rPr>
        <w:t>Empresários</w:t>
      </w:r>
      <w:proofErr w:type="spellEnd"/>
      <w:r w:rsidRPr="000A58DA">
        <w:rPr>
          <w:rFonts w:cs="Times New Roman"/>
          <w:szCs w:val="24"/>
        </w:rPr>
        <w:t xml:space="preserve"> </w:t>
      </w:r>
      <w:proofErr w:type="spellStart"/>
      <w:r w:rsidRPr="000A58DA">
        <w:rPr>
          <w:rFonts w:cs="Times New Roman"/>
          <w:szCs w:val="24"/>
        </w:rPr>
        <w:t>brasileiros</w:t>
      </w:r>
      <w:proofErr w:type="spellEnd"/>
      <w:r w:rsidRPr="000A58DA">
        <w:rPr>
          <w:rFonts w:cs="Times New Roman"/>
          <w:szCs w:val="24"/>
        </w:rPr>
        <w:t xml:space="preserve"> </w:t>
      </w:r>
      <w:proofErr w:type="spellStart"/>
      <w:r w:rsidRPr="000A58DA">
        <w:rPr>
          <w:rFonts w:cs="Times New Roman"/>
          <w:szCs w:val="24"/>
        </w:rPr>
        <w:t>esperam</w:t>
      </w:r>
      <w:proofErr w:type="spellEnd"/>
      <w:r w:rsidRPr="000A58DA">
        <w:rPr>
          <w:rFonts w:cs="Times New Roman"/>
          <w:szCs w:val="24"/>
        </w:rPr>
        <w:t xml:space="preserve"> </w:t>
      </w:r>
      <w:proofErr w:type="spellStart"/>
      <w:r w:rsidRPr="000A58DA">
        <w:rPr>
          <w:rFonts w:cs="Times New Roman"/>
          <w:szCs w:val="24"/>
        </w:rPr>
        <w:t>ampliar</w:t>
      </w:r>
      <w:proofErr w:type="spellEnd"/>
      <w:r w:rsidRPr="000A58DA">
        <w:rPr>
          <w:rFonts w:cs="Times New Roman"/>
          <w:szCs w:val="24"/>
        </w:rPr>
        <w:t xml:space="preserve"> </w:t>
      </w:r>
      <w:proofErr w:type="spellStart"/>
      <w:r w:rsidRPr="000A58DA">
        <w:rPr>
          <w:rFonts w:cs="Times New Roman"/>
          <w:szCs w:val="24"/>
        </w:rPr>
        <w:t>neg</w:t>
      </w:r>
      <w:r w:rsidR="007546A7">
        <w:rPr>
          <w:rFonts w:cs="Times New Roman"/>
          <w:szCs w:val="24"/>
        </w:rPr>
        <w:t>ócios</w:t>
      </w:r>
      <w:proofErr w:type="spellEnd"/>
      <w:r w:rsidR="007546A7">
        <w:rPr>
          <w:rFonts w:cs="Times New Roman"/>
          <w:szCs w:val="24"/>
        </w:rPr>
        <w:t xml:space="preserve"> com a </w:t>
      </w:r>
      <w:proofErr w:type="spellStart"/>
      <w:r w:rsidR="007546A7">
        <w:rPr>
          <w:rFonts w:cs="Times New Roman"/>
          <w:szCs w:val="24"/>
        </w:rPr>
        <w:t>reeleição</w:t>
      </w:r>
      <w:proofErr w:type="spellEnd"/>
      <w:r w:rsidR="007546A7">
        <w:rPr>
          <w:rFonts w:cs="Times New Roman"/>
          <w:szCs w:val="24"/>
        </w:rPr>
        <w:t xml:space="preserve"> de Chávez.</w:t>
      </w:r>
      <w:r w:rsidRPr="000A58DA">
        <w:rPr>
          <w:rFonts w:cs="Times New Roman"/>
          <w:szCs w:val="24"/>
        </w:rPr>
        <w:t xml:space="preserve">” October 8. </w:t>
      </w:r>
    </w:p>
    <w:p w:rsidR="00151BCF" w:rsidRPr="000A58DA" w:rsidRDefault="00151BCF" w:rsidP="000F0D08">
      <w:pPr>
        <w:spacing w:line="480" w:lineRule="auto"/>
        <w:ind w:left="432" w:hanging="432"/>
        <w:rPr>
          <w:rFonts w:cs="Times New Roman"/>
          <w:szCs w:val="24"/>
        </w:rPr>
      </w:pPr>
      <w:proofErr w:type="spellStart"/>
      <w:r w:rsidRPr="000A58DA">
        <w:rPr>
          <w:rFonts w:cs="Times New Roman"/>
          <w:szCs w:val="24"/>
        </w:rPr>
        <w:t>Fellet</w:t>
      </w:r>
      <w:proofErr w:type="spellEnd"/>
      <w:r w:rsidRPr="000A58DA">
        <w:rPr>
          <w:rFonts w:cs="Times New Roman"/>
          <w:szCs w:val="24"/>
        </w:rPr>
        <w:t xml:space="preserve">, </w:t>
      </w:r>
      <w:proofErr w:type="spellStart"/>
      <w:r w:rsidRPr="000A58DA">
        <w:rPr>
          <w:rFonts w:cs="Times New Roman"/>
          <w:szCs w:val="24"/>
        </w:rPr>
        <w:t>João</w:t>
      </w:r>
      <w:proofErr w:type="spellEnd"/>
      <w:r w:rsidRPr="000A58DA">
        <w:rPr>
          <w:rFonts w:cs="Times New Roman"/>
          <w:szCs w:val="24"/>
        </w:rPr>
        <w:t xml:space="preserve">. 2012. “Com BNDES e </w:t>
      </w:r>
      <w:proofErr w:type="spellStart"/>
      <w:r w:rsidRPr="000A58DA">
        <w:rPr>
          <w:rFonts w:cs="Times New Roman"/>
          <w:szCs w:val="24"/>
        </w:rPr>
        <w:t>negócios</w:t>
      </w:r>
      <w:proofErr w:type="spellEnd"/>
      <w:r w:rsidRPr="000A58DA">
        <w:rPr>
          <w:rFonts w:cs="Times New Roman"/>
          <w:szCs w:val="24"/>
        </w:rPr>
        <w:t xml:space="preserve"> com politicos, </w:t>
      </w:r>
      <w:proofErr w:type="spellStart"/>
      <w:r w:rsidRPr="000A58DA">
        <w:rPr>
          <w:rFonts w:cs="Times New Roman"/>
          <w:szCs w:val="24"/>
        </w:rPr>
        <w:t>Odeb</w:t>
      </w:r>
      <w:r w:rsidR="007546A7">
        <w:rPr>
          <w:rFonts w:cs="Times New Roman"/>
          <w:szCs w:val="24"/>
        </w:rPr>
        <w:t>recht</w:t>
      </w:r>
      <w:proofErr w:type="spellEnd"/>
      <w:r w:rsidR="007546A7">
        <w:rPr>
          <w:rFonts w:cs="Times New Roman"/>
          <w:szCs w:val="24"/>
        </w:rPr>
        <w:t xml:space="preserve"> </w:t>
      </w:r>
      <w:proofErr w:type="spellStart"/>
      <w:r w:rsidR="007546A7">
        <w:rPr>
          <w:rFonts w:cs="Times New Roman"/>
          <w:szCs w:val="24"/>
        </w:rPr>
        <w:t>ergue</w:t>
      </w:r>
      <w:proofErr w:type="spellEnd"/>
      <w:r w:rsidR="007546A7">
        <w:rPr>
          <w:rFonts w:cs="Times New Roman"/>
          <w:szCs w:val="24"/>
        </w:rPr>
        <w:t xml:space="preserve"> ‘</w:t>
      </w:r>
      <w:proofErr w:type="spellStart"/>
      <w:r w:rsidR="007546A7">
        <w:rPr>
          <w:rFonts w:cs="Times New Roman"/>
          <w:szCs w:val="24"/>
        </w:rPr>
        <w:t>império</w:t>
      </w:r>
      <w:proofErr w:type="spellEnd"/>
      <w:r w:rsidR="007546A7">
        <w:rPr>
          <w:rFonts w:cs="Times New Roman"/>
          <w:szCs w:val="24"/>
        </w:rPr>
        <w:t>’ en Angola.</w:t>
      </w:r>
      <w:r w:rsidRPr="000A58DA">
        <w:rPr>
          <w:rFonts w:cs="Times New Roman"/>
          <w:szCs w:val="24"/>
        </w:rPr>
        <w:t xml:space="preserve">” </w:t>
      </w:r>
      <w:r w:rsidRPr="000A58DA">
        <w:rPr>
          <w:rFonts w:cs="Times New Roman"/>
          <w:i/>
          <w:szCs w:val="24"/>
        </w:rPr>
        <w:t xml:space="preserve">BBC </w:t>
      </w:r>
      <w:proofErr w:type="spellStart"/>
      <w:r w:rsidRPr="000A58DA">
        <w:rPr>
          <w:rFonts w:cs="Times New Roman"/>
          <w:i/>
          <w:szCs w:val="24"/>
        </w:rPr>
        <w:t>Brasil</w:t>
      </w:r>
      <w:proofErr w:type="spellEnd"/>
      <w:r w:rsidRPr="000A58DA">
        <w:rPr>
          <w:rFonts w:cs="Times New Roman"/>
          <w:i/>
          <w:szCs w:val="24"/>
        </w:rPr>
        <w:t xml:space="preserve">, </w:t>
      </w:r>
      <w:r w:rsidRPr="000A58DA">
        <w:rPr>
          <w:rFonts w:cs="Times New Roman"/>
          <w:szCs w:val="24"/>
        </w:rPr>
        <w:t>September 18.</w:t>
      </w:r>
    </w:p>
    <w:p w:rsidR="00151BCF" w:rsidRPr="000A58DA" w:rsidRDefault="00151BCF" w:rsidP="000F0D08">
      <w:pPr>
        <w:spacing w:line="480" w:lineRule="auto"/>
        <w:ind w:left="432" w:hanging="432"/>
        <w:rPr>
          <w:rFonts w:cs="Times New Roman"/>
          <w:szCs w:val="24"/>
        </w:rPr>
      </w:pPr>
      <w:r w:rsidRPr="000A58DA">
        <w:rPr>
          <w:rFonts w:cs="Times New Roman"/>
          <w:i/>
          <w:szCs w:val="24"/>
        </w:rPr>
        <w:t xml:space="preserve">Financial Times (FT). </w:t>
      </w:r>
      <w:r w:rsidRPr="000A58DA">
        <w:rPr>
          <w:rFonts w:cs="Times New Roman"/>
          <w:szCs w:val="24"/>
        </w:rPr>
        <w:t>2009. “Interview transcript: Pres</w:t>
      </w:r>
      <w:r w:rsidR="007546A7">
        <w:rPr>
          <w:rFonts w:cs="Times New Roman"/>
          <w:szCs w:val="24"/>
        </w:rPr>
        <w:t xml:space="preserve">ident </w:t>
      </w:r>
      <w:proofErr w:type="spellStart"/>
      <w:r w:rsidR="007546A7">
        <w:rPr>
          <w:rFonts w:cs="Times New Roman"/>
          <w:szCs w:val="24"/>
        </w:rPr>
        <w:t>Luiz</w:t>
      </w:r>
      <w:proofErr w:type="spellEnd"/>
      <w:r w:rsidR="007546A7">
        <w:rPr>
          <w:rFonts w:cs="Times New Roman"/>
          <w:szCs w:val="24"/>
        </w:rPr>
        <w:t xml:space="preserve"> </w:t>
      </w:r>
      <w:proofErr w:type="spellStart"/>
      <w:r w:rsidR="007546A7">
        <w:rPr>
          <w:rFonts w:cs="Times New Roman"/>
          <w:szCs w:val="24"/>
        </w:rPr>
        <w:t>Inácio</w:t>
      </w:r>
      <w:proofErr w:type="spellEnd"/>
      <w:r w:rsidR="007546A7">
        <w:rPr>
          <w:rFonts w:cs="Times New Roman"/>
          <w:szCs w:val="24"/>
        </w:rPr>
        <w:t xml:space="preserve"> Lula da Silva.</w:t>
      </w:r>
      <w:r w:rsidRPr="000A58DA">
        <w:rPr>
          <w:rFonts w:cs="Times New Roman"/>
          <w:szCs w:val="24"/>
        </w:rPr>
        <w:t>” November 8.</w:t>
      </w:r>
    </w:p>
    <w:p w:rsidR="00151BCF" w:rsidRPr="000A58DA" w:rsidRDefault="00151BCF" w:rsidP="000F0D08">
      <w:pPr>
        <w:spacing w:line="480" w:lineRule="auto"/>
        <w:ind w:left="432" w:hanging="432"/>
        <w:rPr>
          <w:rFonts w:cs="Times New Roman"/>
          <w:szCs w:val="24"/>
        </w:rPr>
      </w:pPr>
      <w:proofErr w:type="spellStart"/>
      <w:r w:rsidRPr="000A58DA">
        <w:rPr>
          <w:rFonts w:cs="Times New Roman"/>
          <w:szCs w:val="24"/>
        </w:rPr>
        <w:t>Fishlow</w:t>
      </w:r>
      <w:proofErr w:type="spellEnd"/>
      <w:r w:rsidRPr="000A58DA">
        <w:rPr>
          <w:rFonts w:cs="Times New Roman"/>
          <w:szCs w:val="24"/>
        </w:rPr>
        <w:t>, Albert. 1973. “Some Reflections on Post</w:t>
      </w:r>
      <w:r w:rsidR="00A14463">
        <w:rPr>
          <w:rFonts w:cs="Times New Roman"/>
          <w:szCs w:val="24"/>
        </w:rPr>
        <w:t>-1964 Brazilian Economic Policy.” I</w:t>
      </w:r>
      <w:r w:rsidRPr="000A58DA">
        <w:rPr>
          <w:rFonts w:cs="Times New Roman"/>
          <w:szCs w:val="24"/>
        </w:rPr>
        <w:t xml:space="preserve">n Alfred </w:t>
      </w:r>
      <w:proofErr w:type="spellStart"/>
      <w:r w:rsidRPr="000A58DA">
        <w:rPr>
          <w:rFonts w:cs="Times New Roman"/>
          <w:szCs w:val="24"/>
        </w:rPr>
        <w:t>Stepan</w:t>
      </w:r>
      <w:proofErr w:type="spellEnd"/>
      <w:r w:rsidRPr="000A58DA">
        <w:rPr>
          <w:rFonts w:cs="Times New Roman"/>
          <w:szCs w:val="24"/>
        </w:rPr>
        <w:t xml:space="preserve">, ed. </w:t>
      </w:r>
      <w:r w:rsidRPr="000A58DA">
        <w:rPr>
          <w:rFonts w:cs="Times New Roman"/>
          <w:i/>
          <w:szCs w:val="24"/>
        </w:rPr>
        <w:t xml:space="preserve">Authoritarian Brazil: Origins, Policies, and Future. </w:t>
      </w:r>
      <w:r w:rsidRPr="000A58DA">
        <w:rPr>
          <w:rFonts w:cs="Times New Roman"/>
          <w:szCs w:val="24"/>
        </w:rPr>
        <w:t>New Haven: Yale University Press.</w:t>
      </w:r>
    </w:p>
    <w:p w:rsidR="00151BCF" w:rsidRPr="000A58DA" w:rsidRDefault="00151BCF" w:rsidP="000F0D08">
      <w:pPr>
        <w:pStyle w:val="Heading1"/>
        <w:spacing w:before="0" w:beforeAutospacing="0" w:after="0" w:afterAutospacing="0" w:line="480" w:lineRule="auto"/>
        <w:ind w:left="432" w:hanging="432"/>
        <w:rPr>
          <w:b w:val="0"/>
          <w:sz w:val="24"/>
          <w:szCs w:val="24"/>
        </w:rPr>
      </w:pPr>
      <w:r w:rsidRPr="000A58DA">
        <w:rPr>
          <w:b w:val="0"/>
          <w:i/>
          <w:sz w:val="24"/>
          <w:szCs w:val="24"/>
        </w:rPr>
        <w:t xml:space="preserve">O </w:t>
      </w:r>
      <w:proofErr w:type="spellStart"/>
      <w:r w:rsidRPr="000A58DA">
        <w:rPr>
          <w:b w:val="0"/>
          <w:i/>
          <w:sz w:val="24"/>
          <w:szCs w:val="24"/>
        </w:rPr>
        <w:t>Globo</w:t>
      </w:r>
      <w:proofErr w:type="spellEnd"/>
      <w:r w:rsidRPr="000A58DA">
        <w:rPr>
          <w:b w:val="0"/>
          <w:sz w:val="24"/>
          <w:szCs w:val="24"/>
        </w:rPr>
        <w:t>. “</w:t>
      </w:r>
      <w:proofErr w:type="spellStart"/>
      <w:r w:rsidRPr="000A58DA">
        <w:rPr>
          <w:b w:val="0"/>
          <w:sz w:val="24"/>
          <w:szCs w:val="24"/>
        </w:rPr>
        <w:t>Apesar</w:t>
      </w:r>
      <w:proofErr w:type="spellEnd"/>
      <w:r w:rsidRPr="000A58DA">
        <w:rPr>
          <w:b w:val="0"/>
          <w:sz w:val="24"/>
          <w:szCs w:val="24"/>
        </w:rPr>
        <w:t xml:space="preserve"> do </w:t>
      </w:r>
      <w:proofErr w:type="spellStart"/>
      <w:r w:rsidRPr="000A58DA">
        <w:rPr>
          <w:b w:val="0"/>
          <w:sz w:val="24"/>
          <w:szCs w:val="24"/>
        </w:rPr>
        <w:t>financiamento</w:t>
      </w:r>
      <w:proofErr w:type="spellEnd"/>
      <w:r w:rsidRPr="000A58DA">
        <w:rPr>
          <w:b w:val="0"/>
          <w:sz w:val="24"/>
          <w:szCs w:val="24"/>
        </w:rPr>
        <w:t xml:space="preserve"> do BNDES, </w:t>
      </w:r>
      <w:proofErr w:type="spellStart"/>
      <w:r w:rsidRPr="000A58DA">
        <w:rPr>
          <w:b w:val="0"/>
          <w:sz w:val="24"/>
          <w:szCs w:val="24"/>
        </w:rPr>
        <w:t>multinacionais</w:t>
      </w:r>
      <w:proofErr w:type="spellEnd"/>
      <w:r w:rsidRPr="000A58DA">
        <w:rPr>
          <w:b w:val="0"/>
          <w:sz w:val="24"/>
          <w:szCs w:val="24"/>
        </w:rPr>
        <w:t xml:space="preserve"> </w:t>
      </w:r>
      <w:proofErr w:type="spellStart"/>
      <w:r w:rsidRPr="000A58DA">
        <w:rPr>
          <w:b w:val="0"/>
          <w:sz w:val="24"/>
          <w:szCs w:val="24"/>
        </w:rPr>
        <w:t>não</w:t>
      </w:r>
      <w:proofErr w:type="spellEnd"/>
      <w:r w:rsidRPr="000A58DA">
        <w:rPr>
          <w:b w:val="0"/>
          <w:sz w:val="24"/>
          <w:szCs w:val="24"/>
        </w:rPr>
        <w:t xml:space="preserve"> se </w:t>
      </w:r>
      <w:proofErr w:type="spellStart"/>
      <w:r w:rsidRPr="000A58DA">
        <w:rPr>
          <w:b w:val="0"/>
          <w:sz w:val="24"/>
          <w:szCs w:val="24"/>
        </w:rPr>
        <w:t>livram</w:t>
      </w:r>
      <w:proofErr w:type="spellEnd"/>
      <w:r w:rsidRPr="000A58DA">
        <w:rPr>
          <w:b w:val="0"/>
          <w:sz w:val="24"/>
          <w:szCs w:val="24"/>
        </w:rPr>
        <w:t xml:space="preserve"> das </w:t>
      </w:r>
      <w:proofErr w:type="spellStart"/>
      <w:r w:rsidRPr="000A58DA">
        <w:rPr>
          <w:b w:val="0"/>
          <w:sz w:val="24"/>
          <w:szCs w:val="24"/>
        </w:rPr>
        <w:t>dívidas</w:t>
      </w:r>
      <w:proofErr w:type="spellEnd"/>
      <w:r w:rsidR="00A14463">
        <w:rPr>
          <w:b w:val="0"/>
          <w:sz w:val="24"/>
          <w:szCs w:val="24"/>
        </w:rPr>
        <w:t>.</w:t>
      </w:r>
      <w:r w:rsidRPr="000A58DA">
        <w:rPr>
          <w:b w:val="0"/>
          <w:sz w:val="24"/>
          <w:szCs w:val="24"/>
        </w:rPr>
        <w:t xml:space="preserve">” Dec 17, 2011, </w:t>
      </w:r>
      <w:r w:rsidRPr="000A58DA">
        <w:rPr>
          <w:b w:val="0"/>
          <w:i/>
          <w:sz w:val="24"/>
          <w:szCs w:val="24"/>
        </w:rPr>
        <w:t xml:space="preserve">O </w:t>
      </w:r>
      <w:proofErr w:type="spellStart"/>
      <w:r w:rsidRPr="000A58DA">
        <w:rPr>
          <w:b w:val="0"/>
          <w:i/>
          <w:sz w:val="24"/>
          <w:szCs w:val="24"/>
        </w:rPr>
        <w:t>Globo</w:t>
      </w:r>
      <w:proofErr w:type="spellEnd"/>
      <w:r w:rsidRPr="000A58DA">
        <w:rPr>
          <w:b w:val="0"/>
          <w:i/>
          <w:sz w:val="24"/>
          <w:szCs w:val="24"/>
        </w:rPr>
        <w:t xml:space="preserve"> </w:t>
      </w:r>
      <w:proofErr w:type="spellStart"/>
      <w:r w:rsidRPr="000A58DA">
        <w:rPr>
          <w:b w:val="0"/>
          <w:i/>
          <w:sz w:val="24"/>
          <w:szCs w:val="24"/>
        </w:rPr>
        <w:t>Gazeta</w:t>
      </w:r>
      <w:proofErr w:type="spellEnd"/>
      <w:r w:rsidRPr="000A58DA">
        <w:rPr>
          <w:b w:val="0"/>
          <w:i/>
          <w:sz w:val="24"/>
          <w:szCs w:val="24"/>
        </w:rPr>
        <w:t xml:space="preserve"> Online. </w:t>
      </w:r>
    </w:p>
    <w:p w:rsidR="00151BCF" w:rsidRPr="000A58DA" w:rsidRDefault="00151BCF" w:rsidP="000F0D08">
      <w:pPr>
        <w:tabs>
          <w:tab w:val="left" w:pos="864"/>
        </w:tabs>
        <w:spacing w:line="480" w:lineRule="auto"/>
        <w:ind w:left="432" w:hanging="432"/>
        <w:rPr>
          <w:rFonts w:cs="Times New Roman"/>
          <w:szCs w:val="24"/>
        </w:rPr>
      </w:pPr>
      <w:proofErr w:type="spellStart"/>
      <w:r w:rsidRPr="000A58DA">
        <w:rPr>
          <w:rFonts w:cs="Times New Roman"/>
          <w:szCs w:val="24"/>
        </w:rPr>
        <w:t>Goodhart</w:t>
      </w:r>
      <w:proofErr w:type="spellEnd"/>
      <w:r w:rsidRPr="000A58DA">
        <w:rPr>
          <w:rFonts w:cs="Times New Roman"/>
          <w:szCs w:val="24"/>
        </w:rPr>
        <w:t xml:space="preserve">, Charles. 1990.  </w:t>
      </w:r>
      <w:r w:rsidRPr="000A58DA">
        <w:rPr>
          <w:rFonts w:cs="Times New Roman"/>
          <w:i/>
          <w:iCs/>
          <w:szCs w:val="24"/>
        </w:rPr>
        <w:t xml:space="preserve">The Evolution of Central Banks.  </w:t>
      </w:r>
      <w:r w:rsidRPr="000A58DA">
        <w:rPr>
          <w:rFonts w:cs="Times New Roman"/>
          <w:szCs w:val="24"/>
        </w:rPr>
        <w:t>Cambridge, MA: MIT Press.</w:t>
      </w:r>
    </w:p>
    <w:p w:rsidR="00151BCF" w:rsidRPr="000A58DA" w:rsidRDefault="00151BCF" w:rsidP="000F0D08">
      <w:pPr>
        <w:spacing w:line="480" w:lineRule="auto"/>
        <w:ind w:left="432" w:hanging="432"/>
        <w:rPr>
          <w:rFonts w:cs="Times New Roman"/>
          <w:szCs w:val="24"/>
        </w:rPr>
      </w:pPr>
      <w:r w:rsidRPr="000A58DA">
        <w:rPr>
          <w:rFonts w:cs="Times New Roman"/>
          <w:szCs w:val="24"/>
        </w:rPr>
        <w:t xml:space="preserve">Hochstetler, Kathryn and Alfred P. Montero. 2013. “The New </w:t>
      </w:r>
      <w:proofErr w:type="spellStart"/>
      <w:r w:rsidRPr="000A58DA">
        <w:rPr>
          <w:rFonts w:cs="Times New Roman"/>
          <w:szCs w:val="24"/>
        </w:rPr>
        <w:t>Developmentalist</w:t>
      </w:r>
      <w:proofErr w:type="spellEnd"/>
      <w:r w:rsidRPr="000A58DA">
        <w:rPr>
          <w:rFonts w:cs="Times New Roman"/>
          <w:szCs w:val="24"/>
        </w:rPr>
        <w:t xml:space="preserve"> State: The National Develo</w:t>
      </w:r>
      <w:r w:rsidR="00F23B4F">
        <w:rPr>
          <w:rFonts w:cs="Times New Roman"/>
          <w:szCs w:val="24"/>
        </w:rPr>
        <w:t>pment Bank and the Brazil Model.</w:t>
      </w:r>
      <w:r w:rsidRPr="000A58DA">
        <w:rPr>
          <w:rFonts w:cs="Times New Roman"/>
          <w:szCs w:val="24"/>
        </w:rPr>
        <w:t>” Unpublished paper, January 27.</w:t>
      </w:r>
    </w:p>
    <w:p w:rsidR="00151BCF" w:rsidRPr="000A58DA" w:rsidRDefault="00151BCF" w:rsidP="000F0D08">
      <w:pPr>
        <w:spacing w:line="480" w:lineRule="auto"/>
        <w:ind w:left="432" w:hanging="432"/>
        <w:rPr>
          <w:rFonts w:cs="Times New Roman"/>
          <w:szCs w:val="24"/>
        </w:rPr>
      </w:pPr>
      <w:proofErr w:type="spellStart"/>
      <w:r w:rsidRPr="000A58DA">
        <w:rPr>
          <w:rFonts w:cs="Times New Roman"/>
          <w:szCs w:val="24"/>
        </w:rPr>
        <w:t>Kingstone</w:t>
      </w:r>
      <w:proofErr w:type="spellEnd"/>
      <w:r w:rsidRPr="000A58DA">
        <w:rPr>
          <w:rFonts w:cs="Times New Roman"/>
          <w:szCs w:val="24"/>
        </w:rPr>
        <w:t xml:space="preserve">, Peter. 2011. </w:t>
      </w:r>
      <w:r w:rsidRPr="000A58DA">
        <w:rPr>
          <w:rFonts w:cs="Times New Roman"/>
          <w:i/>
          <w:szCs w:val="24"/>
        </w:rPr>
        <w:t xml:space="preserve">The Political Economy of Latin America: Reflections on Neoliberalism and Development. </w:t>
      </w:r>
      <w:r w:rsidRPr="000A58DA">
        <w:rPr>
          <w:rFonts w:cs="Times New Roman"/>
          <w:szCs w:val="24"/>
        </w:rPr>
        <w:t xml:space="preserve">New York: </w:t>
      </w:r>
      <w:proofErr w:type="spellStart"/>
      <w:r w:rsidRPr="000A58DA">
        <w:rPr>
          <w:rFonts w:cs="Times New Roman"/>
          <w:szCs w:val="24"/>
        </w:rPr>
        <w:t>Routledge</w:t>
      </w:r>
      <w:proofErr w:type="spellEnd"/>
      <w:r w:rsidRPr="000A58DA">
        <w:rPr>
          <w:rFonts w:cs="Times New Roman"/>
          <w:szCs w:val="24"/>
        </w:rPr>
        <w:t>.</w:t>
      </w:r>
    </w:p>
    <w:p w:rsidR="00151BCF" w:rsidRPr="000A58DA" w:rsidRDefault="00151BCF" w:rsidP="000F0D08">
      <w:pPr>
        <w:spacing w:line="480" w:lineRule="auto"/>
        <w:ind w:left="432" w:hanging="432"/>
        <w:rPr>
          <w:rFonts w:eastAsia="Times New Roman" w:cs="Times New Roman"/>
          <w:szCs w:val="24"/>
        </w:rPr>
      </w:pPr>
      <w:proofErr w:type="spellStart"/>
      <w:r w:rsidRPr="000A58DA">
        <w:rPr>
          <w:rFonts w:cs="Times New Roman"/>
          <w:szCs w:val="24"/>
        </w:rPr>
        <w:t>Landim</w:t>
      </w:r>
      <w:proofErr w:type="spellEnd"/>
      <w:r w:rsidRPr="000A58DA">
        <w:rPr>
          <w:rFonts w:cs="Times New Roman"/>
          <w:szCs w:val="24"/>
        </w:rPr>
        <w:t>, Raquel. 2012. “</w:t>
      </w:r>
      <w:r w:rsidRPr="000A58DA">
        <w:rPr>
          <w:rFonts w:eastAsia="Times New Roman" w:cs="Times New Roman"/>
          <w:bCs/>
          <w:szCs w:val="24"/>
        </w:rPr>
        <w:t xml:space="preserve">É </w:t>
      </w:r>
      <w:proofErr w:type="spellStart"/>
      <w:r w:rsidRPr="000A58DA">
        <w:rPr>
          <w:rFonts w:eastAsia="Times New Roman" w:cs="Times New Roman"/>
          <w:bCs/>
          <w:szCs w:val="24"/>
        </w:rPr>
        <w:t>melhor</w:t>
      </w:r>
      <w:proofErr w:type="spellEnd"/>
      <w:r w:rsidRPr="000A58DA">
        <w:rPr>
          <w:rFonts w:eastAsia="Times New Roman" w:cs="Times New Roman"/>
          <w:bCs/>
          <w:szCs w:val="24"/>
        </w:rPr>
        <w:t xml:space="preserve"> </w:t>
      </w:r>
      <w:proofErr w:type="spellStart"/>
      <w:r w:rsidRPr="000A58DA">
        <w:rPr>
          <w:rFonts w:eastAsia="Times New Roman" w:cs="Times New Roman"/>
          <w:bCs/>
          <w:szCs w:val="24"/>
        </w:rPr>
        <w:t>cortar</w:t>
      </w:r>
      <w:proofErr w:type="spellEnd"/>
      <w:r w:rsidRPr="000A58DA">
        <w:rPr>
          <w:rFonts w:eastAsia="Times New Roman" w:cs="Times New Roman"/>
          <w:bCs/>
          <w:szCs w:val="24"/>
        </w:rPr>
        <w:t xml:space="preserve"> </w:t>
      </w:r>
      <w:proofErr w:type="spellStart"/>
      <w:r w:rsidRPr="000A58DA">
        <w:rPr>
          <w:rFonts w:eastAsia="Times New Roman" w:cs="Times New Roman"/>
          <w:bCs/>
          <w:szCs w:val="24"/>
        </w:rPr>
        <w:t>gasto</w:t>
      </w:r>
      <w:proofErr w:type="spellEnd"/>
      <w:r w:rsidRPr="000A58DA">
        <w:rPr>
          <w:rFonts w:eastAsia="Times New Roman" w:cs="Times New Roman"/>
          <w:bCs/>
          <w:szCs w:val="24"/>
        </w:rPr>
        <w:t xml:space="preserve"> </w:t>
      </w:r>
      <w:proofErr w:type="spellStart"/>
      <w:r w:rsidRPr="000A58DA">
        <w:rPr>
          <w:rFonts w:eastAsia="Times New Roman" w:cs="Times New Roman"/>
          <w:bCs/>
          <w:szCs w:val="24"/>
        </w:rPr>
        <w:t>que</w:t>
      </w:r>
      <w:proofErr w:type="spellEnd"/>
      <w:r w:rsidRPr="000A58DA">
        <w:rPr>
          <w:rFonts w:eastAsia="Times New Roman" w:cs="Times New Roman"/>
          <w:bCs/>
          <w:szCs w:val="24"/>
        </w:rPr>
        <w:t xml:space="preserve"> </w:t>
      </w:r>
      <w:proofErr w:type="spellStart"/>
      <w:r w:rsidRPr="000A58DA">
        <w:rPr>
          <w:rFonts w:eastAsia="Times New Roman" w:cs="Times New Roman"/>
          <w:bCs/>
          <w:szCs w:val="24"/>
        </w:rPr>
        <w:t>subir</w:t>
      </w:r>
      <w:proofErr w:type="spellEnd"/>
      <w:r w:rsidRPr="000A58DA">
        <w:rPr>
          <w:rFonts w:eastAsia="Times New Roman" w:cs="Times New Roman"/>
          <w:bCs/>
          <w:szCs w:val="24"/>
        </w:rPr>
        <w:t xml:space="preserve"> </w:t>
      </w:r>
      <w:proofErr w:type="spellStart"/>
      <w:r w:rsidRPr="000A58DA">
        <w:rPr>
          <w:rFonts w:eastAsia="Times New Roman" w:cs="Times New Roman"/>
          <w:bCs/>
          <w:szCs w:val="24"/>
        </w:rPr>
        <w:t>juro</w:t>
      </w:r>
      <w:proofErr w:type="spellEnd"/>
      <w:r w:rsidRPr="000A58DA">
        <w:rPr>
          <w:rFonts w:eastAsia="Times New Roman" w:cs="Times New Roman"/>
          <w:bCs/>
          <w:szCs w:val="24"/>
        </w:rPr>
        <w:t xml:space="preserve"> contra a </w:t>
      </w:r>
      <w:proofErr w:type="spellStart"/>
      <w:r w:rsidRPr="000A58DA">
        <w:rPr>
          <w:rFonts w:eastAsia="Times New Roman" w:cs="Times New Roman"/>
          <w:bCs/>
          <w:szCs w:val="24"/>
        </w:rPr>
        <w:t>inflação</w:t>
      </w:r>
      <w:proofErr w:type="spellEnd"/>
      <w:r w:rsidRPr="000A58DA">
        <w:rPr>
          <w:rFonts w:eastAsia="Times New Roman" w:cs="Times New Roman"/>
          <w:bCs/>
          <w:szCs w:val="24"/>
        </w:rPr>
        <w:t xml:space="preserve">: </w:t>
      </w:r>
      <w:proofErr w:type="spellStart"/>
      <w:r w:rsidRPr="000A58DA">
        <w:rPr>
          <w:rFonts w:eastAsia="Times New Roman" w:cs="Times New Roman"/>
          <w:bCs/>
          <w:szCs w:val="24"/>
        </w:rPr>
        <w:t>Arida</w:t>
      </w:r>
      <w:proofErr w:type="spellEnd"/>
      <w:r w:rsidRPr="000A58DA">
        <w:rPr>
          <w:rFonts w:eastAsia="Times New Roman" w:cs="Times New Roman"/>
          <w:bCs/>
          <w:szCs w:val="24"/>
        </w:rPr>
        <w:t xml:space="preserve"> </w:t>
      </w:r>
      <w:proofErr w:type="spellStart"/>
      <w:r w:rsidRPr="000A58DA">
        <w:rPr>
          <w:rFonts w:eastAsia="Times New Roman" w:cs="Times New Roman"/>
          <w:bCs/>
          <w:szCs w:val="24"/>
        </w:rPr>
        <w:t>defende</w:t>
      </w:r>
      <w:proofErr w:type="spellEnd"/>
      <w:r w:rsidRPr="000A58DA">
        <w:rPr>
          <w:rFonts w:eastAsia="Times New Roman" w:cs="Times New Roman"/>
          <w:bCs/>
          <w:szCs w:val="24"/>
        </w:rPr>
        <w:t xml:space="preserve"> </w:t>
      </w:r>
      <w:proofErr w:type="spellStart"/>
      <w:r w:rsidRPr="000A58DA">
        <w:rPr>
          <w:rFonts w:eastAsia="Times New Roman" w:cs="Times New Roman"/>
          <w:bCs/>
          <w:szCs w:val="24"/>
        </w:rPr>
        <w:t>fim</w:t>
      </w:r>
      <w:proofErr w:type="spellEnd"/>
      <w:r w:rsidRPr="000A58DA">
        <w:rPr>
          <w:rFonts w:eastAsia="Times New Roman" w:cs="Times New Roman"/>
          <w:bCs/>
          <w:szCs w:val="24"/>
        </w:rPr>
        <w:t xml:space="preserve"> do </w:t>
      </w:r>
      <w:proofErr w:type="spellStart"/>
      <w:r w:rsidRPr="000A58DA">
        <w:rPr>
          <w:rFonts w:eastAsia="Times New Roman" w:cs="Times New Roman"/>
          <w:bCs/>
          <w:szCs w:val="24"/>
        </w:rPr>
        <w:t>crédito</w:t>
      </w:r>
      <w:proofErr w:type="spellEnd"/>
      <w:r w:rsidRPr="000A58DA">
        <w:rPr>
          <w:rFonts w:eastAsia="Times New Roman" w:cs="Times New Roman"/>
          <w:bCs/>
          <w:szCs w:val="24"/>
        </w:rPr>
        <w:t xml:space="preserve"> </w:t>
      </w:r>
      <w:proofErr w:type="spellStart"/>
      <w:r w:rsidRPr="000A58DA">
        <w:rPr>
          <w:rFonts w:eastAsia="Times New Roman" w:cs="Times New Roman"/>
          <w:bCs/>
          <w:szCs w:val="24"/>
        </w:rPr>
        <w:t>subsidiado</w:t>
      </w:r>
      <w:proofErr w:type="spellEnd"/>
      <w:r w:rsidRPr="000A58DA">
        <w:rPr>
          <w:rFonts w:eastAsia="Times New Roman" w:cs="Times New Roman"/>
          <w:bCs/>
          <w:szCs w:val="24"/>
        </w:rPr>
        <w:t xml:space="preserve"> </w:t>
      </w:r>
      <w:proofErr w:type="spellStart"/>
      <w:r w:rsidRPr="000A58DA">
        <w:rPr>
          <w:rFonts w:eastAsia="Times New Roman" w:cs="Times New Roman"/>
          <w:bCs/>
          <w:szCs w:val="24"/>
        </w:rPr>
        <w:t>of</w:t>
      </w:r>
      <w:r w:rsidR="00F23B4F">
        <w:rPr>
          <w:rFonts w:eastAsia="Times New Roman" w:cs="Times New Roman"/>
          <w:bCs/>
          <w:szCs w:val="24"/>
        </w:rPr>
        <w:t>erecido</w:t>
      </w:r>
      <w:proofErr w:type="spellEnd"/>
      <w:r w:rsidR="00F23B4F">
        <w:rPr>
          <w:rFonts w:eastAsia="Times New Roman" w:cs="Times New Roman"/>
          <w:bCs/>
          <w:szCs w:val="24"/>
        </w:rPr>
        <w:t xml:space="preserve"> </w:t>
      </w:r>
      <w:proofErr w:type="spellStart"/>
      <w:r w:rsidR="00F23B4F">
        <w:rPr>
          <w:rFonts w:eastAsia="Times New Roman" w:cs="Times New Roman"/>
          <w:bCs/>
          <w:szCs w:val="24"/>
        </w:rPr>
        <w:t>pelo</w:t>
      </w:r>
      <w:proofErr w:type="spellEnd"/>
      <w:r w:rsidR="00F23B4F">
        <w:rPr>
          <w:rFonts w:eastAsia="Times New Roman" w:cs="Times New Roman"/>
          <w:bCs/>
          <w:szCs w:val="24"/>
        </w:rPr>
        <w:t xml:space="preserve"> BNDES e </w:t>
      </w:r>
      <w:proofErr w:type="spellStart"/>
      <w:r w:rsidR="00F23B4F">
        <w:rPr>
          <w:rFonts w:eastAsia="Times New Roman" w:cs="Times New Roman"/>
          <w:bCs/>
          <w:szCs w:val="24"/>
        </w:rPr>
        <w:t>pela</w:t>
      </w:r>
      <w:proofErr w:type="spellEnd"/>
      <w:r w:rsidR="00F23B4F">
        <w:rPr>
          <w:rFonts w:eastAsia="Times New Roman" w:cs="Times New Roman"/>
          <w:bCs/>
          <w:szCs w:val="24"/>
        </w:rPr>
        <w:t xml:space="preserve"> </w:t>
      </w:r>
      <w:proofErr w:type="spellStart"/>
      <w:r w:rsidR="00F23B4F">
        <w:rPr>
          <w:rFonts w:eastAsia="Times New Roman" w:cs="Times New Roman"/>
          <w:bCs/>
          <w:szCs w:val="24"/>
        </w:rPr>
        <w:t>Caixa</w:t>
      </w:r>
      <w:proofErr w:type="spellEnd"/>
      <w:r w:rsidR="00F23B4F">
        <w:rPr>
          <w:rFonts w:eastAsia="Times New Roman" w:cs="Times New Roman"/>
          <w:bCs/>
          <w:szCs w:val="24"/>
        </w:rPr>
        <w:t>.</w:t>
      </w:r>
      <w:r w:rsidRPr="000A58DA">
        <w:rPr>
          <w:rFonts w:eastAsia="Times New Roman" w:cs="Times New Roman"/>
          <w:bCs/>
          <w:szCs w:val="24"/>
        </w:rPr>
        <w:t xml:space="preserve">” </w:t>
      </w:r>
      <w:r w:rsidRPr="000A58DA">
        <w:rPr>
          <w:rFonts w:eastAsia="Times New Roman" w:cs="Times New Roman"/>
          <w:bCs/>
          <w:i/>
          <w:szCs w:val="24"/>
        </w:rPr>
        <w:t>O Estado de São Paulo.</w:t>
      </w:r>
    </w:p>
    <w:p w:rsidR="00151BCF" w:rsidRPr="000A58DA" w:rsidRDefault="00151BCF" w:rsidP="000F0D08">
      <w:pPr>
        <w:spacing w:line="480" w:lineRule="auto"/>
        <w:ind w:left="432" w:hanging="432"/>
        <w:rPr>
          <w:rFonts w:cs="Times New Roman"/>
          <w:szCs w:val="24"/>
        </w:rPr>
      </w:pPr>
      <w:r w:rsidRPr="000A58DA">
        <w:rPr>
          <w:rFonts w:cs="Times New Roman"/>
          <w:i/>
          <w:szCs w:val="24"/>
        </w:rPr>
        <w:lastRenderedPageBreak/>
        <w:t xml:space="preserve">Latin Finance. </w:t>
      </w:r>
      <w:r w:rsidRPr="000A58DA">
        <w:rPr>
          <w:rFonts w:cs="Times New Roman"/>
          <w:szCs w:val="24"/>
        </w:rPr>
        <w:t xml:space="preserve">2009. “Best Multilateral: Cranking Out Champions,” </w:t>
      </w:r>
      <w:r w:rsidRPr="000A58DA">
        <w:rPr>
          <w:rFonts w:cs="Times New Roman"/>
          <w:i/>
          <w:szCs w:val="24"/>
        </w:rPr>
        <w:t xml:space="preserve">Latin Finance, </w:t>
      </w:r>
      <w:r w:rsidRPr="000A58DA">
        <w:rPr>
          <w:rFonts w:cs="Times New Roman"/>
          <w:szCs w:val="24"/>
        </w:rPr>
        <w:t xml:space="preserve">November 1. </w:t>
      </w:r>
    </w:p>
    <w:p w:rsidR="00151BCF" w:rsidRPr="000A58DA" w:rsidRDefault="00151BCF" w:rsidP="000F0D08">
      <w:pPr>
        <w:pStyle w:val="Heading1"/>
        <w:spacing w:before="0" w:beforeAutospacing="0" w:after="0" w:afterAutospacing="0" w:line="480" w:lineRule="auto"/>
        <w:ind w:left="432" w:hanging="432"/>
        <w:rPr>
          <w:b w:val="0"/>
          <w:sz w:val="24"/>
          <w:szCs w:val="24"/>
        </w:rPr>
      </w:pPr>
      <w:r w:rsidRPr="000A58DA">
        <w:rPr>
          <w:b w:val="0"/>
          <w:sz w:val="24"/>
          <w:szCs w:val="24"/>
        </w:rPr>
        <w:t>Leahy, Joe.  2011. “Questions surroun</w:t>
      </w:r>
      <w:r w:rsidR="00F23B4F">
        <w:rPr>
          <w:b w:val="0"/>
          <w:sz w:val="24"/>
          <w:szCs w:val="24"/>
        </w:rPr>
        <w:t>d Brazil bank in Carrefour deal.</w:t>
      </w:r>
      <w:r w:rsidRPr="000A58DA">
        <w:rPr>
          <w:b w:val="0"/>
          <w:sz w:val="24"/>
          <w:szCs w:val="24"/>
        </w:rPr>
        <w:t xml:space="preserve">” </w:t>
      </w:r>
      <w:r w:rsidRPr="000A58DA">
        <w:rPr>
          <w:b w:val="0"/>
          <w:i/>
          <w:sz w:val="24"/>
          <w:szCs w:val="24"/>
        </w:rPr>
        <w:t xml:space="preserve">Financial Times, </w:t>
      </w:r>
      <w:r w:rsidRPr="000A58DA">
        <w:rPr>
          <w:b w:val="0"/>
          <w:sz w:val="24"/>
          <w:szCs w:val="24"/>
        </w:rPr>
        <w:t>July 13.</w:t>
      </w:r>
    </w:p>
    <w:p w:rsidR="00151BCF" w:rsidRPr="000A58DA" w:rsidRDefault="00151BCF" w:rsidP="000F0D08">
      <w:pPr>
        <w:pStyle w:val="Heading2"/>
        <w:spacing w:before="0" w:line="480" w:lineRule="auto"/>
        <w:ind w:left="432" w:hanging="432"/>
        <w:rPr>
          <w:rFonts w:ascii="Times New Roman" w:hAnsi="Times New Roman" w:cs="Times New Roman"/>
          <w:b w:val="0"/>
          <w:color w:val="auto"/>
          <w:sz w:val="24"/>
          <w:szCs w:val="24"/>
        </w:rPr>
      </w:pPr>
      <w:proofErr w:type="spellStart"/>
      <w:r w:rsidRPr="000A58DA">
        <w:rPr>
          <w:rFonts w:ascii="Times New Roman" w:hAnsi="Times New Roman" w:cs="Times New Roman"/>
          <w:b w:val="0"/>
          <w:color w:val="auto"/>
          <w:sz w:val="24"/>
          <w:szCs w:val="24"/>
        </w:rPr>
        <w:t>Leonel</w:t>
      </w:r>
      <w:proofErr w:type="spellEnd"/>
      <w:r w:rsidRPr="000A58DA">
        <w:rPr>
          <w:rFonts w:ascii="Times New Roman" w:hAnsi="Times New Roman" w:cs="Times New Roman"/>
          <w:b w:val="0"/>
          <w:color w:val="auto"/>
          <w:sz w:val="24"/>
          <w:szCs w:val="24"/>
        </w:rPr>
        <w:t xml:space="preserve">, </w:t>
      </w:r>
      <w:proofErr w:type="spellStart"/>
      <w:r w:rsidRPr="000A58DA">
        <w:rPr>
          <w:rFonts w:ascii="Times New Roman" w:hAnsi="Times New Roman" w:cs="Times New Roman"/>
          <w:b w:val="0"/>
          <w:color w:val="auto"/>
          <w:sz w:val="24"/>
          <w:szCs w:val="24"/>
        </w:rPr>
        <w:t>Josué</w:t>
      </w:r>
      <w:proofErr w:type="spellEnd"/>
      <w:r w:rsidRPr="000A58DA">
        <w:rPr>
          <w:rFonts w:ascii="Times New Roman" w:hAnsi="Times New Roman" w:cs="Times New Roman"/>
          <w:b w:val="0"/>
          <w:color w:val="auto"/>
          <w:sz w:val="24"/>
          <w:szCs w:val="24"/>
        </w:rPr>
        <w:t xml:space="preserve">. 2010. “BNDES </w:t>
      </w:r>
      <w:proofErr w:type="spellStart"/>
      <w:r w:rsidRPr="000A58DA">
        <w:rPr>
          <w:rFonts w:ascii="Times New Roman" w:hAnsi="Times New Roman" w:cs="Times New Roman"/>
          <w:b w:val="0"/>
          <w:color w:val="auto"/>
          <w:sz w:val="24"/>
          <w:szCs w:val="24"/>
        </w:rPr>
        <w:t>limita</w:t>
      </w:r>
      <w:proofErr w:type="spellEnd"/>
      <w:r w:rsidRPr="000A58DA">
        <w:rPr>
          <w:rFonts w:ascii="Times New Roman" w:hAnsi="Times New Roman" w:cs="Times New Roman"/>
          <w:b w:val="0"/>
          <w:color w:val="auto"/>
          <w:sz w:val="24"/>
          <w:szCs w:val="24"/>
        </w:rPr>
        <w:t xml:space="preserve"> </w:t>
      </w:r>
      <w:proofErr w:type="spellStart"/>
      <w:r w:rsidRPr="000A58DA">
        <w:rPr>
          <w:rFonts w:ascii="Times New Roman" w:hAnsi="Times New Roman" w:cs="Times New Roman"/>
          <w:b w:val="0"/>
          <w:color w:val="auto"/>
          <w:sz w:val="24"/>
          <w:szCs w:val="24"/>
        </w:rPr>
        <w:t>desenvolvimento</w:t>
      </w:r>
      <w:proofErr w:type="spellEnd"/>
      <w:r w:rsidRPr="000A58DA">
        <w:rPr>
          <w:rFonts w:ascii="Times New Roman" w:hAnsi="Times New Roman" w:cs="Times New Roman"/>
          <w:b w:val="0"/>
          <w:color w:val="auto"/>
          <w:sz w:val="24"/>
          <w:szCs w:val="24"/>
        </w:rPr>
        <w:t xml:space="preserve"> do </w:t>
      </w:r>
      <w:proofErr w:type="spellStart"/>
      <w:r w:rsidRPr="000A58DA">
        <w:rPr>
          <w:rFonts w:ascii="Times New Roman" w:hAnsi="Times New Roman" w:cs="Times New Roman"/>
          <w:b w:val="0"/>
          <w:color w:val="auto"/>
          <w:sz w:val="24"/>
          <w:szCs w:val="24"/>
        </w:rPr>
        <w:t>crédito</w:t>
      </w:r>
      <w:proofErr w:type="spellEnd"/>
      <w:r w:rsidRPr="000A58DA">
        <w:rPr>
          <w:rFonts w:ascii="Times New Roman" w:hAnsi="Times New Roman" w:cs="Times New Roman"/>
          <w:b w:val="0"/>
          <w:color w:val="auto"/>
          <w:sz w:val="24"/>
          <w:szCs w:val="24"/>
        </w:rPr>
        <w:t xml:space="preserve"> </w:t>
      </w:r>
      <w:proofErr w:type="spellStart"/>
      <w:r w:rsidRPr="000A58DA">
        <w:rPr>
          <w:rFonts w:ascii="Times New Roman" w:hAnsi="Times New Roman" w:cs="Times New Roman"/>
          <w:b w:val="0"/>
          <w:color w:val="auto"/>
          <w:sz w:val="24"/>
          <w:szCs w:val="24"/>
        </w:rPr>
        <w:t>privado</w:t>
      </w:r>
      <w:proofErr w:type="spellEnd"/>
      <w:r w:rsidRPr="000A58DA">
        <w:rPr>
          <w:rFonts w:ascii="Times New Roman" w:hAnsi="Times New Roman" w:cs="Times New Roman"/>
          <w:b w:val="0"/>
          <w:color w:val="auto"/>
          <w:sz w:val="24"/>
          <w:szCs w:val="24"/>
        </w:rPr>
        <w:t xml:space="preserve">, </w:t>
      </w:r>
      <w:proofErr w:type="spellStart"/>
      <w:r w:rsidRPr="000A58DA">
        <w:rPr>
          <w:rFonts w:ascii="Times New Roman" w:hAnsi="Times New Roman" w:cs="Times New Roman"/>
          <w:b w:val="0"/>
          <w:color w:val="auto"/>
          <w:sz w:val="24"/>
          <w:szCs w:val="24"/>
        </w:rPr>
        <w:t>diz</w:t>
      </w:r>
      <w:proofErr w:type="spellEnd"/>
      <w:r w:rsidRPr="000A58DA">
        <w:rPr>
          <w:rFonts w:ascii="Times New Roman" w:hAnsi="Times New Roman" w:cs="Times New Roman"/>
          <w:b w:val="0"/>
          <w:color w:val="auto"/>
          <w:sz w:val="24"/>
          <w:szCs w:val="24"/>
        </w:rPr>
        <w:t xml:space="preserve"> Loyola</w:t>
      </w:r>
      <w:r w:rsidR="00F23B4F">
        <w:rPr>
          <w:rFonts w:ascii="Times New Roman" w:hAnsi="Times New Roman" w:cs="Times New Roman"/>
          <w:b w:val="0"/>
          <w:color w:val="auto"/>
          <w:sz w:val="24"/>
          <w:szCs w:val="24"/>
        </w:rPr>
        <w:t>.”</w:t>
      </w:r>
      <w:r w:rsidRPr="000A58DA">
        <w:rPr>
          <w:rFonts w:ascii="Times New Roman" w:hAnsi="Times New Roman" w:cs="Times New Roman"/>
          <w:b w:val="0"/>
          <w:color w:val="auto"/>
          <w:sz w:val="24"/>
          <w:szCs w:val="24"/>
        </w:rPr>
        <w:t xml:space="preserve"> </w:t>
      </w:r>
      <w:proofErr w:type="spellStart"/>
      <w:r w:rsidRPr="000A58DA">
        <w:rPr>
          <w:rFonts w:ascii="Times New Roman" w:hAnsi="Times New Roman" w:cs="Times New Roman"/>
          <w:b w:val="0"/>
          <w:i/>
          <w:color w:val="auto"/>
          <w:sz w:val="24"/>
          <w:szCs w:val="24"/>
        </w:rPr>
        <w:t>Brasil</w:t>
      </w:r>
      <w:proofErr w:type="spellEnd"/>
      <w:r w:rsidRPr="000A58DA">
        <w:rPr>
          <w:rFonts w:ascii="Times New Roman" w:hAnsi="Times New Roman" w:cs="Times New Roman"/>
          <w:b w:val="0"/>
          <w:i/>
          <w:color w:val="auto"/>
          <w:sz w:val="24"/>
          <w:szCs w:val="24"/>
        </w:rPr>
        <w:t xml:space="preserve"> </w:t>
      </w:r>
      <w:proofErr w:type="spellStart"/>
      <w:r w:rsidRPr="000A58DA">
        <w:rPr>
          <w:rFonts w:ascii="Times New Roman" w:hAnsi="Times New Roman" w:cs="Times New Roman"/>
          <w:b w:val="0"/>
          <w:i/>
          <w:color w:val="auto"/>
          <w:sz w:val="24"/>
          <w:szCs w:val="24"/>
        </w:rPr>
        <w:t>Econômico</w:t>
      </w:r>
      <w:proofErr w:type="spellEnd"/>
      <w:r w:rsidRPr="000A58DA">
        <w:rPr>
          <w:rFonts w:ascii="Times New Roman" w:hAnsi="Times New Roman" w:cs="Times New Roman"/>
          <w:b w:val="0"/>
          <w:i/>
          <w:color w:val="auto"/>
          <w:sz w:val="24"/>
          <w:szCs w:val="24"/>
        </w:rPr>
        <w:t xml:space="preserve">, </w:t>
      </w:r>
      <w:r w:rsidRPr="000A58DA">
        <w:rPr>
          <w:rFonts w:ascii="Times New Roman" w:hAnsi="Times New Roman" w:cs="Times New Roman"/>
          <w:b w:val="0"/>
          <w:color w:val="auto"/>
          <w:sz w:val="24"/>
          <w:szCs w:val="24"/>
        </w:rPr>
        <w:t>July 16.</w:t>
      </w:r>
    </w:p>
    <w:p w:rsidR="00151BCF" w:rsidRPr="000A58DA" w:rsidRDefault="00151BCF" w:rsidP="000F0D08">
      <w:pPr>
        <w:autoSpaceDE w:val="0"/>
        <w:autoSpaceDN w:val="0"/>
        <w:adjustRightInd w:val="0"/>
        <w:spacing w:line="480" w:lineRule="auto"/>
        <w:ind w:left="432" w:hanging="432"/>
        <w:rPr>
          <w:rFonts w:cs="Times New Roman"/>
          <w:szCs w:val="24"/>
        </w:rPr>
      </w:pPr>
      <w:proofErr w:type="spellStart"/>
      <w:r w:rsidRPr="000A58DA">
        <w:rPr>
          <w:rFonts w:cs="Times New Roman"/>
          <w:szCs w:val="24"/>
        </w:rPr>
        <w:t>Lessa</w:t>
      </w:r>
      <w:proofErr w:type="spellEnd"/>
      <w:r w:rsidRPr="000A58DA">
        <w:rPr>
          <w:rFonts w:cs="Times New Roman"/>
          <w:szCs w:val="24"/>
        </w:rPr>
        <w:t>, Carlos. “</w:t>
      </w:r>
      <w:proofErr w:type="spellStart"/>
      <w:r w:rsidRPr="000A58DA">
        <w:rPr>
          <w:rFonts w:cs="Times New Roman"/>
          <w:szCs w:val="24"/>
        </w:rPr>
        <w:t>Atrofiar</w:t>
      </w:r>
      <w:proofErr w:type="spellEnd"/>
      <w:r w:rsidRPr="000A58DA">
        <w:rPr>
          <w:rFonts w:cs="Times New Roman"/>
          <w:szCs w:val="24"/>
        </w:rPr>
        <w:t xml:space="preserve">, </w:t>
      </w:r>
      <w:proofErr w:type="spellStart"/>
      <w:r w:rsidRPr="000A58DA">
        <w:rPr>
          <w:rFonts w:cs="Times New Roman"/>
          <w:szCs w:val="24"/>
        </w:rPr>
        <w:t>Privatizar</w:t>
      </w:r>
      <w:proofErr w:type="spellEnd"/>
      <w:r w:rsidRPr="000A58DA">
        <w:rPr>
          <w:rFonts w:cs="Times New Roman"/>
          <w:szCs w:val="24"/>
        </w:rPr>
        <w:t xml:space="preserve"> </w:t>
      </w:r>
      <w:proofErr w:type="spellStart"/>
      <w:r w:rsidRPr="000A58DA">
        <w:rPr>
          <w:rFonts w:cs="Times New Roman"/>
          <w:szCs w:val="24"/>
        </w:rPr>
        <w:t>ou</w:t>
      </w:r>
      <w:proofErr w:type="spellEnd"/>
      <w:r w:rsidRPr="000A58DA">
        <w:rPr>
          <w:rFonts w:cs="Times New Roman"/>
          <w:szCs w:val="24"/>
        </w:rPr>
        <w:t xml:space="preserve">, se </w:t>
      </w:r>
      <w:proofErr w:type="spellStart"/>
      <w:r w:rsidRPr="000A58DA">
        <w:rPr>
          <w:rFonts w:cs="Times New Roman"/>
          <w:szCs w:val="24"/>
        </w:rPr>
        <w:t>Possível</w:t>
      </w:r>
      <w:proofErr w:type="spellEnd"/>
      <w:r w:rsidRPr="000A58DA">
        <w:rPr>
          <w:rFonts w:cs="Times New Roman"/>
          <w:szCs w:val="24"/>
        </w:rPr>
        <w:t xml:space="preserve">, </w:t>
      </w:r>
      <w:proofErr w:type="spellStart"/>
      <w:r w:rsidRPr="000A58DA">
        <w:rPr>
          <w:rFonts w:cs="Times New Roman"/>
          <w:szCs w:val="24"/>
        </w:rPr>
        <w:t>Fechar</w:t>
      </w:r>
      <w:proofErr w:type="spellEnd"/>
      <w:r w:rsidRPr="000A58DA">
        <w:rPr>
          <w:rFonts w:cs="Times New Roman"/>
          <w:szCs w:val="24"/>
        </w:rPr>
        <w:t xml:space="preserve"> </w:t>
      </w:r>
      <w:r w:rsidR="00F23B4F">
        <w:rPr>
          <w:rFonts w:cs="Times New Roman"/>
          <w:szCs w:val="24"/>
        </w:rPr>
        <w:t>o BNDES.</w:t>
      </w:r>
      <w:r w:rsidRPr="000A58DA">
        <w:rPr>
          <w:rFonts w:cs="Times New Roman"/>
          <w:szCs w:val="24"/>
        </w:rPr>
        <w:t xml:space="preserve">” </w:t>
      </w:r>
      <w:r w:rsidRPr="000A58DA">
        <w:rPr>
          <w:rFonts w:cs="Times New Roman"/>
          <w:i/>
          <w:iCs/>
          <w:szCs w:val="24"/>
        </w:rPr>
        <w:t xml:space="preserve">Valor </w:t>
      </w:r>
      <w:proofErr w:type="spellStart"/>
      <w:r w:rsidRPr="000A58DA">
        <w:rPr>
          <w:rFonts w:cs="Times New Roman"/>
          <w:i/>
          <w:iCs/>
          <w:szCs w:val="24"/>
        </w:rPr>
        <w:t>Econômico</w:t>
      </w:r>
      <w:proofErr w:type="spellEnd"/>
      <w:r w:rsidRPr="000A58DA">
        <w:rPr>
          <w:rFonts w:cs="Times New Roman"/>
          <w:szCs w:val="24"/>
        </w:rPr>
        <w:t>, August 3, 2005.</w:t>
      </w:r>
    </w:p>
    <w:p w:rsidR="00151BCF" w:rsidRPr="000A58DA" w:rsidRDefault="00151BCF" w:rsidP="000F0D08">
      <w:pPr>
        <w:autoSpaceDE w:val="0"/>
        <w:autoSpaceDN w:val="0"/>
        <w:adjustRightInd w:val="0"/>
        <w:spacing w:line="480" w:lineRule="auto"/>
        <w:ind w:left="432" w:hanging="432"/>
        <w:rPr>
          <w:rFonts w:cs="Times New Roman"/>
          <w:szCs w:val="24"/>
        </w:rPr>
      </w:pPr>
      <w:proofErr w:type="spellStart"/>
      <w:r w:rsidRPr="000A58DA">
        <w:rPr>
          <w:rFonts w:cs="Times New Roman"/>
          <w:szCs w:val="24"/>
        </w:rPr>
        <w:t>Lissardy</w:t>
      </w:r>
      <w:proofErr w:type="spellEnd"/>
      <w:r w:rsidRPr="000A58DA">
        <w:rPr>
          <w:rFonts w:cs="Times New Roman"/>
          <w:szCs w:val="24"/>
        </w:rPr>
        <w:t xml:space="preserve">, Gerardo. 2011. “BNDES impulse </w:t>
      </w:r>
      <w:proofErr w:type="spellStart"/>
      <w:r w:rsidRPr="000A58DA">
        <w:rPr>
          <w:rFonts w:cs="Times New Roman"/>
          <w:szCs w:val="24"/>
        </w:rPr>
        <w:t>maior</w:t>
      </w:r>
      <w:proofErr w:type="spellEnd"/>
      <w:r w:rsidRPr="000A58DA">
        <w:rPr>
          <w:rFonts w:cs="Times New Roman"/>
          <w:szCs w:val="24"/>
        </w:rPr>
        <w:t xml:space="preserve"> </w:t>
      </w:r>
      <w:proofErr w:type="spellStart"/>
      <w:r w:rsidRPr="000A58DA">
        <w:rPr>
          <w:rFonts w:cs="Times New Roman"/>
          <w:szCs w:val="24"/>
        </w:rPr>
        <w:t>presen</w:t>
      </w:r>
      <w:r w:rsidR="00F23B4F">
        <w:rPr>
          <w:rFonts w:cs="Times New Roman"/>
          <w:szCs w:val="24"/>
        </w:rPr>
        <w:t>ça</w:t>
      </w:r>
      <w:proofErr w:type="spellEnd"/>
      <w:r w:rsidR="00F23B4F">
        <w:rPr>
          <w:rFonts w:cs="Times New Roman"/>
          <w:szCs w:val="24"/>
        </w:rPr>
        <w:t xml:space="preserve"> </w:t>
      </w:r>
      <w:proofErr w:type="spellStart"/>
      <w:r w:rsidR="00F23B4F">
        <w:rPr>
          <w:rFonts w:cs="Times New Roman"/>
          <w:szCs w:val="24"/>
        </w:rPr>
        <w:t>brasileira</w:t>
      </w:r>
      <w:proofErr w:type="spellEnd"/>
      <w:r w:rsidR="00F23B4F">
        <w:rPr>
          <w:rFonts w:cs="Times New Roman"/>
          <w:szCs w:val="24"/>
        </w:rPr>
        <w:t xml:space="preserve"> en </w:t>
      </w:r>
      <w:proofErr w:type="spellStart"/>
      <w:r w:rsidR="00F23B4F">
        <w:rPr>
          <w:rFonts w:cs="Times New Roman"/>
          <w:szCs w:val="24"/>
        </w:rPr>
        <w:t>América</w:t>
      </w:r>
      <w:proofErr w:type="spellEnd"/>
      <w:r w:rsidR="00F23B4F">
        <w:rPr>
          <w:rFonts w:cs="Times New Roman"/>
          <w:szCs w:val="24"/>
        </w:rPr>
        <w:t xml:space="preserve"> Latina.</w:t>
      </w:r>
      <w:r w:rsidRPr="000A58DA">
        <w:rPr>
          <w:rFonts w:cs="Times New Roman"/>
          <w:szCs w:val="24"/>
        </w:rPr>
        <w:t xml:space="preserve">” </w:t>
      </w:r>
      <w:r w:rsidRPr="000A58DA">
        <w:rPr>
          <w:rFonts w:cs="Times New Roman"/>
          <w:i/>
          <w:szCs w:val="24"/>
        </w:rPr>
        <w:t xml:space="preserve">BBC </w:t>
      </w:r>
      <w:proofErr w:type="spellStart"/>
      <w:r w:rsidRPr="000A58DA">
        <w:rPr>
          <w:rFonts w:cs="Times New Roman"/>
          <w:i/>
          <w:szCs w:val="24"/>
        </w:rPr>
        <w:t>Brasil</w:t>
      </w:r>
      <w:proofErr w:type="spellEnd"/>
      <w:r w:rsidRPr="000A58DA">
        <w:rPr>
          <w:rFonts w:cs="Times New Roman"/>
          <w:i/>
          <w:szCs w:val="24"/>
        </w:rPr>
        <w:t xml:space="preserve">, </w:t>
      </w:r>
      <w:r w:rsidRPr="000A58DA">
        <w:rPr>
          <w:rFonts w:cs="Times New Roman"/>
          <w:szCs w:val="24"/>
        </w:rPr>
        <w:t>November 9.</w:t>
      </w:r>
    </w:p>
    <w:p w:rsidR="00151BCF" w:rsidRPr="000A58DA" w:rsidRDefault="00151BCF" w:rsidP="000F0D08">
      <w:pPr>
        <w:autoSpaceDE w:val="0"/>
        <w:autoSpaceDN w:val="0"/>
        <w:adjustRightInd w:val="0"/>
        <w:spacing w:line="480" w:lineRule="auto"/>
        <w:ind w:left="432" w:hanging="432"/>
        <w:rPr>
          <w:rFonts w:cs="Times New Roman"/>
          <w:szCs w:val="24"/>
        </w:rPr>
      </w:pPr>
      <w:r w:rsidRPr="000A58DA">
        <w:rPr>
          <w:rFonts w:cs="Times New Roman"/>
          <w:szCs w:val="24"/>
        </w:rPr>
        <w:t xml:space="preserve">Luce, Mathias Seibel. 2007. “O </w:t>
      </w:r>
      <w:proofErr w:type="spellStart"/>
      <w:r w:rsidRPr="000A58DA">
        <w:rPr>
          <w:rFonts w:cs="Times New Roman"/>
          <w:szCs w:val="24"/>
        </w:rPr>
        <w:t>subimperialismo</w:t>
      </w:r>
      <w:proofErr w:type="spellEnd"/>
      <w:r w:rsidRPr="000A58DA">
        <w:rPr>
          <w:rFonts w:cs="Times New Roman"/>
          <w:szCs w:val="24"/>
        </w:rPr>
        <w:t xml:space="preserve"> </w:t>
      </w:r>
      <w:proofErr w:type="spellStart"/>
      <w:r w:rsidRPr="000A58DA">
        <w:rPr>
          <w:rFonts w:cs="Times New Roman"/>
          <w:szCs w:val="24"/>
        </w:rPr>
        <w:t>brasileiro</w:t>
      </w:r>
      <w:proofErr w:type="spellEnd"/>
      <w:r w:rsidRPr="000A58DA">
        <w:rPr>
          <w:rFonts w:cs="Times New Roman"/>
          <w:szCs w:val="24"/>
        </w:rPr>
        <w:t xml:space="preserve"> </w:t>
      </w:r>
      <w:proofErr w:type="spellStart"/>
      <w:r w:rsidRPr="000A58DA">
        <w:rPr>
          <w:rFonts w:cs="Times New Roman"/>
          <w:szCs w:val="24"/>
        </w:rPr>
        <w:t>revisitado</w:t>
      </w:r>
      <w:proofErr w:type="spellEnd"/>
      <w:r w:rsidRPr="000A58DA">
        <w:rPr>
          <w:rFonts w:cs="Times New Roman"/>
          <w:szCs w:val="24"/>
        </w:rPr>
        <w:t xml:space="preserve">: a </w:t>
      </w:r>
      <w:proofErr w:type="spellStart"/>
      <w:r w:rsidRPr="000A58DA">
        <w:rPr>
          <w:rFonts w:cs="Times New Roman"/>
          <w:szCs w:val="24"/>
        </w:rPr>
        <w:t>política</w:t>
      </w:r>
      <w:proofErr w:type="spellEnd"/>
      <w:r w:rsidRPr="000A58DA">
        <w:rPr>
          <w:rFonts w:cs="Times New Roman"/>
          <w:szCs w:val="24"/>
        </w:rPr>
        <w:t xml:space="preserve"> de </w:t>
      </w:r>
      <w:proofErr w:type="spellStart"/>
      <w:r w:rsidRPr="000A58DA">
        <w:rPr>
          <w:rFonts w:cs="Times New Roman"/>
          <w:szCs w:val="24"/>
        </w:rPr>
        <w:t>integração</w:t>
      </w:r>
      <w:proofErr w:type="spellEnd"/>
      <w:r w:rsidRPr="000A58DA">
        <w:rPr>
          <w:rFonts w:cs="Times New Roman"/>
          <w:szCs w:val="24"/>
        </w:rPr>
        <w:t xml:space="preserve"> regio</w:t>
      </w:r>
      <w:r w:rsidR="00F23B4F">
        <w:rPr>
          <w:rFonts w:cs="Times New Roman"/>
          <w:szCs w:val="24"/>
        </w:rPr>
        <w:t xml:space="preserve">nal do </w:t>
      </w:r>
      <w:proofErr w:type="spellStart"/>
      <w:r w:rsidR="00F23B4F">
        <w:rPr>
          <w:rFonts w:cs="Times New Roman"/>
          <w:szCs w:val="24"/>
        </w:rPr>
        <w:t>governo</w:t>
      </w:r>
      <w:proofErr w:type="spellEnd"/>
      <w:r w:rsidR="00F23B4F">
        <w:rPr>
          <w:rFonts w:cs="Times New Roman"/>
          <w:szCs w:val="24"/>
        </w:rPr>
        <w:t xml:space="preserve"> Lula (2003-2007).</w:t>
      </w:r>
      <w:r w:rsidRPr="000A58DA">
        <w:rPr>
          <w:rFonts w:cs="Times New Roman"/>
          <w:szCs w:val="24"/>
        </w:rPr>
        <w:t xml:space="preserve">” </w:t>
      </w:r>
      <w:r w:rsidR="00F23B4F">
        <w:rPr>
          <w:rFonts w:cs="Times New Roman"/>
          <w:szCs w:val="24"/>
        </w:rPr>
        <w:t xml:space="preserve">Unpublished paper. </w:t>
      </w:r>
      <w:r w:rsidRPr="000A58DA">
        <w:rPr>
          <w:rFonts w:cs="Times New Roman"/>
          <w:szCs w:val="24"/>
        </w:rPr>
        <w:t xml:space="preserve">Graduate Program in International Relations, Federal University of Rio Grande do </w:t>
      </w:r>
      <w:proofErr w:type="spellStart"/>
      <w:r w:rsidRPr="000A58DA">
        <w:rPr>
          <w:rFonts w:cs="Times New Roman"/>
          <w:szCs w:val="24"/>
        </w:rPr>
        <w:t>Sul</w:t>
      </w:r>
      <w:proofErr w:type="spellEnd"/>
      <w:r w:rsidRPr="000A58DA">
        <w:rPr>
          <w:rFonts w:cs="Times New Roman"/>
          <w:szCs w:val="24"/>
        </w:rPr>
        <w:t>.</w:t>
      </w:r>
    </w:p>
    <w:p w:rsidR="00151BCF" w:rsidRPr="000A58DA" w:rsidRDefault="00151BCF" w:rsidP="000F0D08">
      <w:pPr>
        <w:autoSpaceDE w:val="0"/>
        <w:autoSpaceDN w:val="0"/>
        <w:adjustRightInd w:val="0"/>
        <w:spacing w:line="480" w:lineRule="auto"/>
        <w:ind w:left="432" w:hanging="432"/>
        <w:rPr>
          <w:rFonts w:cs="Times New Roman"/>
          <w:szCs w:val="24"/>
        </w:rPr>
      </w:pPr>
      <w:r w:rsidRPr="000A58DA">
        <w:rPr>
          <w:rFonts w:cs="Times New Roman"/>
          <w:szCs w:val="24"/>
        </w:rPr>
        <w:t xml:space="preserve">Madrid, Pamela. 2012. </w:t>
      </w:r>
      <w:r w:rsidRPr="000A58DA">
        <w:rPr>
          <w:rFonts w:cs="Times New Roman"/>
          <w:i/>
          <w:szCs w:val="24"/>
        </w:rPr>
        <w:t xml:space="preserve">Brazil. Financial System Stability Assessment. </w:t>
      </w:r>
      <w:r w:rsidRPr="000A58DA">
        <w:rPr>
          <w:rFonts w:cs="Times New Roman"/>
          <w:szCs w:val="24"/>
        </w:rPr>
        <w:t>Washington, D.C.: International Monetary Fund.</w:t>
      </w:r>
    </w:p>
    <w:p w:rsidR="00151BCF" w:rsidRPr="000A58DA" w:rsidRDefault="00151BCF" w:rsidP="000F0D08">
      <w:pPr>
        <w:autoSpaceDE w:val="0"/>
        <w:autoSpaceDN w:val="0"/>
        <w:adjustRightInd w:val="0"/>
        <w:spacing w:line="480" w:lineRule="auto"/>
        <w:ind w:left="432" w:hanging="432"/>
        <w:rPr>
          <w:rFonts w:cs="Times New Roman"/>
          <w:szCs w:val="24"/>
        </w:rPr>
      </w:pPr>
      <w:r w:rsidRPr="000A58DA">
        <w:rPr>
          <w:rFonts w:cs="Times New Roman"/>
          <w:szCs w:val="24"/>
        </w:rPr>
        <w:t xml:space="preserve">Mello, </w:t>
      </w:r>
      <w:proofErr w:type="spellStart"/>
      <w:r w:rsidRPr="000A58DA">
        <w:rPr>
          <w:rFonts w:cs="Times New Roman"/>
          <w:szCs w:val="24"/>
        </w:rPr>
        <w:t>João</w:t>
      </w:r>
      <w:proofErr w:type="spellEnd"/>
      <w:r w:rsidRPr="000A58DA">
        <w:rPr>
          <w:rFonts w:cs="Times New Roman"/>
          <w:szCs w:val="24"/>
        </w:rPr>
        <w:t xml:space="preserve"> </w:t>
      </w:r>
      <w:proofErr w:type="spellStart"/>
      <w:r w:rsidRPr="000A58DA">
        <w:rPr>
          <w:rFonts w:cs="Times New Roman"/>
          <w:szCs w:val="24"/>
        </w:rPr>
        <w:t>Manoel</w:t>
      </w:r>
      <w:proofErr w:type="spellEnd"/>
      <w:r w:rsidRPr="000A58DA">
        <w:rPr>
          <w:rFonts w:cs="Times New Roman"/>
          <w:szCs w:val="24"/>
        </w:rPr>
        <w:t xml:space="preserve"> P. De and </w:t>
      </w:r>
      <w:proofErr w:type="spellStart"/>
      <w:r w:rsidRPr="000A58DA">
        <w:rPr>
          <w:rFonts w:cs="Times New Roman"/>
          <w:szCs w:val="24"/>
        </w:rPr>
        <w:t>Márcio</w:t>
      </w:r>
      <w:proofErr w:type="spellEnd"/>
      <w:r w:rsidRPr="000A58DA">
        <w:rPr>
          <w:rFonts w:cs="Times New Roman"/>
          <w:szCs w:val="24"/>
        </w:rPr>
        <w:t xml:space="preserve"> G. P. Garcia. 2011. “Bye, Bye Financial Repression, Hello Financial Deepening: </w:t>
      </w:r>
      <w:r w:rsidR="00F23B4F">
        <w:rPr>
          <w:rFonts w:cs="Times New Roman"/>
          <w:szCs w:val="24"/>
        </w:rPr>
        <w:t>The Anatomy of a Financial Boom.</w:t>
      </w:r>
      <w:r w:rsidRPr="000A58DA">
        <w:rPr>
          <w:rFonts w:cs="Times New Roman"/>
          <w:szCs w:val="24"/>
        </w:rPr>
        <w:t xml:space="preserve">” </w:t>
      </w:r>
      <w:proofErr w:type="spellStart"/>
      <w:r w:rsidRPr="000A58DA">
        <w:rPr>
          <w:rFonts w:cs="Times New Roman"/>
          <w:szCs w:val="24"/>
        </w:rPr>
        <w:t>Texto</w:t>
      </w:r>
      <w:proofErr w:type="spellEnd"/>
      <w:r w:rsidRPr="000A58DA">
        <w:rPr>
          <w:rFonts w:cs="Times New Roman"/>
          <w:szCs w:val="24"/>
        </w:rPr>
        <w:t xml:space="preserve"> </w:t>
      </w:r>
      <w:proofErr w:type="spellStart"/>
      <w:r w:rsidRPr="000A58DA">
        <w:rPr>
          <w:rFonts w:cs="Times New Roman"/>
          <w:szCs w:val="24"/>
        </w:rPr>
        <w:t>para</w:t>
      </w:r>
      <w:proofErr w:type="spellEnd"/>
      <w:r w:rsidRPr="000A58DA">
        <w:rPr>
          <w:rFonts w:cs="Times New Roman"/>
          <w:szCs w:val="24"/>
        </w:rPr>
        <w:t xml:space="preserve"> </w:t>
      </w:r>
      <w:proofErr w:type="spellStart"/>
      <w:r w:rsidRPr="000A58DA">
        <w:rPr>
          <w:rFonts w:cs="Times New Roman"/>
          <w:szCs w:val="24"/>
        </w:rPr>
        <w:t>Discussão</w:t>
      </w:r>
      <w:proofErr w:type="spellEnd"/>
      <w:r w:rsidRPr="000A58DA">
        <w:rPr>
          <w:rFonts w:cs="Times New Roman"/>
          <w:szCs w:val="24"/>
        </w:rPr>
        <w:t xml:space="preserve"> #594, PUC-Rio: </w:t>
      </w:r>
      <w:proofErr w:type="spellStart"/>
      <w:r w:rsidRPr="000A58DA">
        <w:rPr>
          <w:rFonts w:cs="Times New Roman"/>
          <w:szCs w:val="24"/>
        </w:rPr>
        <w:t>Departamento</w:t>
      </w:r>
      <w:proofErr w:type="spellEnd"/>
      <w:r w:rsidRPr="000A58DA">
        <w:rPr>
          <w:rFonts w:cs="Times New Roman"/>
          <w:szCs w:val="24"/>
        </w:rPr>
        <w:t xml:space="preserve"> de </w:t>
      </w:r>
      <w:proofErr w:type="spellStart"/>
      <w:r w:rsidRPr="000A58DA">
        <w:rPr>
          <w:rFonts w:cs="Times New Roman"/>
          <w:szCs w:val="24"/>
        </w:rPr>
        <w:t>Economia</w:t>
      </w:r>
      <w:proofErr w:type="spellEnd"/>
      <w:r w:rsidRPr="000A58DA">
        <w:rPr>
          <w:rFonts w:cs="Times New Roman"/>
          <w:szCs w:val="24"/>
        </w:rPr>
        <w:t>.</w:t>
      </w:r>
    </w:p>
    <w:p w:rsidR="00151BCF" w:rsidRPr="000A58DA" w:rsidRDefault="00151BCF" w:rsidP="000F0D08">
      <w:pPr>
        <w:pStyle w:val="Heading1"/>
        <w:spacing w:before="0" w:beforeAutospacing="0" w:after="0" w:afterAutospacing="0" w:line="480" w:lineRule="auto"/>
        <w:ind w:left="432" w:hanging="432"/>
        <w:rPr>
          <w:rStyle w:val="Hyperlink"/>
          <w:b w:val="0"/>
          <w:color w:val="auto"/>
          <w:sz w:val="24"/>
          <w:szCs w:val="24"/>
        </w:rPr>
      </w:pPr>
      <w:proofErr w:type="spellStart"/>
      <w:r w:rsidRPr="000A58DA">
        <w:rPr>
          <w:b w:val="0"/>
          <w:sz w:val="24"/>
          <w:szCs w:val="24"/>
        </w:rPr>
        <w:t>Perondi</w:t>
      </w:r>
      <w:proofErr w:type="spellEnd"/>
      <w:r w:rsidRPr="000A58DA">
        <w:rPr>
          <w:b w:val="0"/>
          <w:sz w:val="24"/>
          <w:szCs w:val="24"/>
        </w:rPr>
        <w:t xml:space="preserve">, </w:t>
      </w:r>
      <w:proofErr w:type="spellStart"/>
      <w:r w:rsidRPr="000A58DA">
        <w:rPr>
          <w:b w:val="0"/>
          <w:sz w:val="24"/>
          <w:szCs w:val="24"/>
        </w:rPr>
        <w:t>Darsício</w:t>
      </w:r>
      <w:proofErr w:type="spellEnd"/>
      <w:r w:rsidRPr="000A58DA">
        <w:rPr>
          <w:b w:val="0"/>
          <w:sz w:val="24"/>
          <w:szCs w:val="24"/>
        </w:rPr>
        <w:t>. 2011. “</w:t>
      </w:r>
      <w:proofErr w:type="spellStart"/>
      <w:r w:rsidRPr="000A58DA">
        <w:rPr>
          <w:b w:val="0"/>
          <w:sz w:val="24"/>
          <w:szCs w:val="24"/>
        </w:rPr>
        <w:t>Perondi</w:t>
      </w:r>
      <w:proofErr w:type="spellEnd"/>
      <w:r w:rsidRPr="000A58DA">
        <w:rPr>
          <w:b w:val="0"/>
          <w:sz w:val="24"/>
          <w:szCs w:val="24"/>
        </w:rPr>
        <w:t xml:space="preserve"> </w:t>
      </w:r>
      <w:proofErr w:type="spellStart"/>
      <w:r w:rsidRPr="000A58DA">
        <w:rPr>
          <w:b w:val="0"/>
          <w:sz w:val="24"/>
          <w:szCs w:val="24"/>
        </w:rPr>
        <w:t>critica</w:t>
      </w:r>
      <w:proofErr w:type="spellEnd"/>
      <w:r w:rsidRPr="000A58DA">
        <w:rPr>
          <w:b w:val="0"/>
          <w:sz w:val="24"/>
          <w:szCs w:val="24"/>
        </w:rPr>
        <w:t xml:space="preserve"> BNDES,” </w:t>
      </w:r>
      <w:r w:rsidR="00F23B4F">
        <w:rPr>
          <w:b w:val="0"/>
          <w:sz w:val="24"/>
          <w:szCs w:val="24"/>
        </w:rPr>
        <w:t xml:space="preserve"> June 30. A</w:t>
      </w:r>
      <w:r w:rsidRPr="000A58DA">
        <w:rPr>
          <w:b w:val="0"/>
          <w:sz w:val="24"/>
          <w:szCs w:val="24"/>
        </w:rPr>
        <w:t>t</w:t>
      </w:r>
      <w:r w:rsidR="00F23B4F">
        <w:rPr>
          <w:b w:val="0"/>
          <w:sz w:val="24"/>
          <w:szCs w:val="24"/>
        </w:rPr>
        <w:t xml:space="preserve">: </w:t>
      </w:r>
      <w:hyperlink r:id="rId18" w:history="1">
        <w:r w:rsidRPr="00F23B4F">
          <w:rPr>
            <w:rStyle w:val="Hyperlink"/>
            <w:b w:val="0"/>
            <w:color w:val="auto"/>
            <w:sz w:val="24"/>
            <w:szCs w:val="24"/>
            <w:u w:val="none"/>
          </w:rPr>
          <w:t>http://darcisioperondi.com.br/perondi-critica-bndes/</w:t>
        </w:r>
      </w:hyperlink>
      <w:r w:rsidR="00F23B4F">
        <w:rPr>
          <w:rStyle w:val="Hyperlink"/>
          <w:b w:val="0"/>
          <w:color w:val="auto"/>
          <w:sz w:val="24"/>
          <w:szCs w:val="24"/>
          <w:u w:val="none"/>
        </w:rPr>
        <w:t xml:space="preserve"> </w:t>
      </w:r>
    </w:p>
    <w:p w:rsidR="00151BCF" w:rsidRPr="000A58DA" w:rsidRDefault="00151BCF" w:rsidP="000F0D08">
      <w:pPr>
        <w:pStyle w:val="Heading1"/>
        <w:spacing w:before="0" w:beforeAutospacing="0" w:after="0" w:afterAutospacing="0" w:line="480" w:lineRule="auto"/>
        <w:ind w:left="432" w:hanging="432"/>
        <w:rPr>
          <w:b w:val="0"/>
          <w:sz w:val="24"/>
          <w:szCs w:val="24"/>
        </w:rPr>
      </w:pPr>
      <w:r w:rsidRPr="000A58DA">
        <w:rPr>
          <w:b w:val="0"/>
          <w:sz w:val="24"/>
          <w:szCs w:val="24"/>
        </w:rPr>
        <w:t xml:space="preserve">Place, Michael. 2013. “Norte </w:t>
      </w:r>
      <w:proofErr w:type="spellStart"/>
      <w:r w:rsidRPr="000A58DA">
        <w:rPr>
          <w:b w:val="0"/>
          <w:sz w:val="24"/>
          <w:szCs w:val="24"/>
        </w:rPr>
        <w:t>Energia</w:t>
      </w:r>
      <w:proofErr w:type="spellEnd"/>
      <w:r w:rsidRPr="000A58DA">
        <w:rPr>
          <w:b w:val="0"/>
          <w:sz w:val="24"/>
          <w:szCs w:val="24"/>
        </w:rPr>
        <w:t xml:space="preserve"> confirms first US$2.</w:t>
      </w:r>
      <w:r w:rsidR="00F23B4F">
        <w:rPr>
          <w:b w:val="0"/>
          <w:sz w:val="24"/>
          <w:szCs w:val="24"/>
        </w:rPr>
        <w:t>54bn credit line for Belo Monte.</w:t>
      </w:r>
      <w:r w:rsidRPr="000A58DA">
        <w:rPr>
          <w:b w:val="0"/>
          <w:sz w:val="24"/>
          <w:szCs w:val="24"/>
        </w:rPr>
        <w:t xml:space="preserve">” </w:t>
      </w:r>
      <w:r w:rsidRPr="000A58DA">
        <w:rPr>
          <w:b w:val="0"/>
          <w:i/>
          <w:sz w:val="24"/>
          <w:szCs w:val="24"/>
        </w:rPr>
        <w:t xml:space="preserve">Business News Americas, </w:t>
      </w:r>
      <w:r w:rsidRPr="000A58DA">
        <w:rPr>
          <w:b w:val="0"/>
          <w:sz w:val="24"/>
          <w:szCs w:val="24"/>
        </w:rPr>
        <w:t>January 2.</w:t>
      </w:r>
    </w:p>
    <w:p w:rsidR="00151BCF" w:rsidRPr="000A58DA" w:rsidRDefault="00151BCF" w:rsidP="000F0D08">
      <w:pPr>
        <w:spacing w:line="480" w:lineRule="auto"/>
        <w:ind w:left="432" w:hanging="432"/>
        <w:outlineLvl w:val="0"/>
        <w:rPr>
          <w:rFonts w:cs="Times New Roman"/>
          <w:szCs w:val="24"/>
        </w:rPr>
      </w:pPr>
      <w:r w:rsidRPr="000A58DA">
        <w:rPr>
          <w:rFonts w:cs="Times New Roman"/>
          <w:szCs w:val="24"/>
        </w:rPr>
        <w:t>Reuters. 2011. “Brazil BN</w:t>
      </w:r>
      <w:r w:rsidR="00F23B4F">
        <w:rPr>
          <w:rFonts w:cs="Times New Roman"/>
          <w:szCs w:val="24"/>
        </w:rPr>
        <w:t xml:space="preserve">DES to receive $27 </w:t>
      </w:r>
      <w:proofErr w:type="spellStart"/>
      <w:r w:rsidR="00F23B4F">
        <w:rPr>
          <w:rFonts w:cs="Times New Roman"/>
          <w:szCs w:val="24"/>
        </w:rPr>
        <w:t>bn</w:t>
      </w:r>
      <w:proofErr w:type="spellEnd"/>
      <w:r w:rsidR="00F23B4F">
        <w:rPr>
          <w:rFonts w:cs="Times New Roman"/>
          <w:szCs w:val="24"/>
        </w:rPr>
        <w:t xml:space="preserve"> from govt.</w:t>
      </w:r>
      <w:r w:rsidRPr="000A58DA">
        <w:rPr>
          <w:rFonts w:cs="Times New Roman"/>
          <w:szCs w:val="24"/>
        </w:rPr>
        <w:t>” February 15.</w:t>
      </w:r>
    </w:p>
    <w:p w:rsidR="00151BCF" w:rsidRPr="000A58DA" w:rsidRDefault="00151BCF" w:rsidP="000F0D08">
      <w:pPr>
        <w:spacing w:line="480" w:lineRule="auto"/>
        <w:ind w:left="432" w:hanging="432"/>
        <w:outlineLvl w:val="0"/>
        <w:rPr>
          <w:rFonts w:eastAsia="Times New Roman" w:cs="Times New Roman"/>
          <w:bCs/>
          <w:kern w:val="36"/>
          <w:szCs w:val="24"/>
        </w:rPr>
      </w:pPr>
      <w:r w:rsidRPr="000A58DA">
        <w:rPr>
          <w:rFonts w:cs="Times New Roman"/>
          <w:szCs w:val="24"/>
        </w:rPr>
        <w:t xml:space="preserve">Romero, </w:t>
      </w:r>
      <w:proofErr w:type="spellStart"/>
      <w:r w:rsidRPr="000A58DA">
        <w:rPr>
          <w:rFonts w:cs="Times New Roman"/>
          <w:szCs w:val="24"/>
        </w:rPr>
        <w:t>Critina</w:t>
      </w:r>
      <w:proofErr w:type="spellEnd"/>
      <w:r w:rsidRPr="000A58DA">
        <w:rPr>
          <w:rFonts w:cs="Times New Roman"/>
          <w:szCs w:val="24"/>
        </w:rPr>
        <w:t xml:space="preserve">. 2011. </w:t>
      </w:r>
      <w:r w:rsidRPr="000A58DA">
        <w:rPr>
          <w:rFonts w:eastAsia="Times New Roman" w:cs="Times New Roman"/>
          <w:bCs/>
          <w:kern w:val="36"/>
          <w:szCs w:val="24"/>
        </w:rPr>
        <w:t>“</w:t>
      </w:r>
      <w:proofErr w:type="spellStart"/>
      <w:r w:rsidRPr="000A58DA">
        <w:rPr>
          <w:rFonts w:eastAsia="Times New Roman" w:cs="Times New Roman"/>
          <w:bCs/>
          <w:kern w:val="36"/>
          <w:szCs w:val="24"/>
        </w:rPr>
        <w:t>Crédito</w:t>
      </w:r>
      <w:proofErr w:type="spellEnd"/>
      <w:r w:rsidRPr="000A58DA">
        <w:rPr>
          <w:rFonts w:eastAsia="Times New Roman" w:cs="Times New Roman"/>
          <w:bCs/>
          <w:kern w:val="36"/>
          <w:szCs w:val="24"/>
        </w:rPr>
        <w:t xml:space="preserve"> </w:t>
      </w:r>
      <w:proofErr w:type="spellStart"/>
      <w:r w:rsidRPr="000A58DA">
        <w:rPr>
          <w:rFonts w:eastAsia="Times New Roman" w:cs="Times New Roman"/>
          <w:bCs/>
          <w:kern w:val="36"/>
          <w:szCs w:val="24"/>
        </w:rPr>
        <w:t>s</w:t>
      </w:r>
      <w:r w:rsidR="00F23B4F">
        <w:rPr>
          <w:rFonts w:eastAsia="Times New Roman" w:cs="Times New Roman"/>
          <w:bCs/>
          <w:kern w:val="36"/>
          <w:szCs w:val="24"/>
        </w:rPr>
        <w:t>ubsidiado</w:t>
      </w:r>
      <w:proofErr w:type="spellEnd"/>
      <w:r w:rsidR="00F23B4F">
        <w:rPr>
          <w:rFonts w:eastAsia="Times New Roman" w:cs="Times New Roman"/>
          <w:bCs/>
          <w:kern w:val="36"/>
          <w:szCs w:val="24"/>
        </w:rPr>
        <w:t xml:space="preserve"> impede </w:t>
      </w:r>
      <w:proofErr w:type="spellStart"/>
      <w:r w:rsidR="00F23B4F">
        <w:rPr>
          <w:rFonts w:eastAsia="Times New Roman" w:cs="Times New Roman"/>
          <w:bCs/>
          <w:kern w:val="36"/>
          <w:szCs w:val="24"/>
        </w:rPr>
        <w:t>queda</w:t>
      </w:r>
      <w:proofErr w:type="spellEnd"/>
      <w:r w:rsidR="00F23B4F">
        <w:rPr>
          <w:rFonts w:eastAsia="Times New Roman" w:cs="Times New Roman"/>
          <w:bCs/>
          <w:kern w:val="36"/>
          <w:szCs w:val="24"/>
        </w:rPr>
        <w:t xml:space="preserve"> de </w:t>
      </w:r>
      <w:proofErr w:type="spellStart"/>
      <w:r w:rsidR="00F23B4F">
        <w:rPr>
          <w:rFonts w:eastAsia="Times New Roman" w:cs="Times New Roman"/>
          <w:bCs/>
          <w:kern w:val="36"/>
          <w:szCs w:val="24"/>
        </w:rPr>
        <w:t>juros</w:t>
      </w:r>
      <w:proofErr w:type="spellEnd"/>
      <w:r w:rsidR="00F23B4F">
        <w:rPr>
          <w:rFonts w:eastAsia="Times New Roman" w:cs="Times New Roman"/>
          <w:bCs/>
          <w:kern w:val="36"/>
          <w:szCs w:val="24"/>
        </w:rPr>
        <w:t>.</w:t>
      </w:r>
      <w:r w:rsidRPr="000A58DA">
        <w:rPr>
          <w:rFonts w:eastAsia="Times New Roman" w:cs="Times New Roman"/>
          <w:bCs/>
          <w:kern w:val="36"/>
          <w:szCs w:val="24"/>
        </w:rPr>
        <w:t xml:space="preserve">” </w:t>
      </w:r>
      <w:r w:rsidRPr="000A58DA">
        <w:rPr>
          <w:rFonts w:eastAsia="Times New Roman" w:cs="Times New Roman"/>
          <w:bCs/>
          <w:i/>
          <w:kern w:val="36"/>
          <w:szCs w:val="24"/>
        </w:rPr>
        <w:t xml:space="preserve">Valor </w:t>
      </w:r>
      <w:proofErr w:type="spellStart"/>
      <w:r w:rsidRPr="000A58DA">
        <w:rPr>
          <w:rFonts w:eastAsia="Times New Roman" w:cs="Times New Roman"/>
          <w:bCs/>
          <w:i/>
          <w:kern w:val="36"/>
          <w:szCs w:val="24"/>
        </w:rPr>
        <w:t>Econômico</w:t>
      </w:r>
      <w:proofErr w:type="spellEnd"/>
      <w:r w:rsidRPr="000A58DA">
        <w:rPr>
          <w:rFonts w:eastAsia="Times New Roman" w:cs="Times New Roman"/>
          <w:bCs/>
          <w:i/>
          <w:kern w:val="36"/>
          <w:szCs w:val="24"/>
        </w:rPr>
        <w:t xml:space="preserve">, </w:t>
      </w:r>
      <w:r w:rsidRPr="000A58DA">
        <w:rPr>
          <w:rFonts w:eastAsia="Times New Roman" w:cs="Times New Roman"/>
          <w:bCs/>
          <w:kern w:val="36"/>
          <w:szCs w:val="24"/>
        </w:rPr>
        <w:t>December 13.</w:t>
      </w:r>
    </w:p>
    <w:p w:rsidR="00151BCF" w:rsidRPr="000A58DA" w:rsidRDefault="00151BCF" w:rsidP="000F0D08">
      <w:pPr>
        <w:pStyle w:val="Heading1"/>
        <w:spacing w:before="0" w:beforeAutospacing="0" w:after="0" w:afterAutospacing="0" w:line="480" w:lineRule="auto"/>
        <w:ind w:left="432" w:hanging="432"/>
        <w:rPr>
          <w:b w:val="0"/>
          <w:sz w:val="24"/>
          <w:szCs w:val="24"/>
        </w:rPr>
      </w:pPr>
      <w:r w:rsidRPr="000A58DA">
        <w:rPr>
          <w:b w:val="0"/>
          <w:sz w:val="24"/>
          <w:szCs w:val="24"/>
        </w:rPr>
        <w:lastRenderedPageBreak/>
        <w:t xml:space="preserve">Rosas, Rafael.  2011.  “BNDES </w:t>
      </w:r>
      <w:proofErr w:type="spellStart"/>
      <w:r w:rsidRPr="000A58DA">
        <w:rPr>
          <w:b w:val="0"/>
          <w:sz w:val="24"/>
          <w:szCs w:val="24"/>
        </w:rPr>
        <w:t>estuda</w:t>
      </w:r>
      <w:proofErr w:type="spellEnd"/>
      <w:r w:rsidRPr="000A58DA">
        <w:rPr>
          <w:b w:val="0"/>
          <w:sz w:val="24"/>
          <w:szCs w:val="24"/>
        </w:rPr>
        <w:t xml:space="preserve"> </w:t>
      </w:r>
      <w:proofErr w:type="spellStart"/>
      <w:r w:rsidRPr="000A58DA">
        <w:rPr>
          <w:b w:val="0"/>
          <w:sz w:val="24"/>
          <w:szCs w:val="24"/>
        </w:rPr>
        <w:t>crédito</w:t>
      </w:r>
      <w:proofErr w:type="spellEnd"/>
      <w:r w:rsidRPr="000A58DA">
        <w:rPr>
          <w:b w:val="0"/>
          <w:sz w:val="24"/>
          <w:szCs w:val="24"/>
        </w:rPr>
        <w:t xml:space="preserve"> de 2</w:t>
      </w:r>
      <w:r w:rsidR="00A47F75">
        <w:rPr>
          <w:b w:val="0"/>
          <w:sz w:val="24"/>
          <w:szCs w:val="24"/>
        </w:rPr>
        <w:t xml:space="preserve"> </w:t>
      </w:r>
      <w:proofErr w:type="spellStart"/>
      <w:r w:rsidR="00A47F75">
        <w:rPr>
          <w:b w:val="0"/>
          <w:sz w:val="24"/>
          <w:szCs w:val="24"/>
        </w:rPr>
        <w:t>bi</w:t>
      </w:r>
      <w:proofErr w:type="spellEnd"/>
      <w:r w:rsidR="00A47F75">
        <w:rPr>
          <w:b w:val="0"/>
          <w:sz w:val="24"/>
          <w:szCs w:val="24"/>
        </w:rPr>
        <w:t xml:space="preserve"> de euros </w:t>
      </w:r>
      <w:proofErr w:type="spellStart"/>
      <w:r w:rsidR="00A47F75">
        <w:rPr>
          <w:b w:val="0"/>
          <w:sz w:val="24"/>
          <w:szCs w:val="24"/>
        </w:rPr>
        <w:t>para</w:t>
      </w:r>
      <w:proofErr w:type="spellEnd"/>
      <w:r w:rsidR="00A47F75">
        <w:rPr>
          <w:b w:val="0"/>
          <w:sz w:val="24"/>
          <w:szCs w:val="24"/>
        </w:rPr>
        <w:t xml:space="preserve"> </w:t>
      </w:r>
      <w:proofErr w:type="spellStart"/>
      <w:r w:rsidR="00A47F75">
        <w:rPr>
          <w:b w:val="0"/>
          <w:sz w:val="24"/>
          <w:szCs w:val="24"/>
        </w:rPr>
        <w:t>Pão</w:t>
      </w:r>
      <w:proofErr w:type="spellEnd"/>
      <w:r w:rsidR="00A47F75">
        <w:rPr>
          <w:b w:val="0"/>
          <w:sz w:val="24"/>
          <w:szCs w:val="24"/>
        </w:rPr>
        <w:t xml:space="preserve"> de </w:t>
      </w:r>
      <w:proofErr w:type="spellStart"/>
      <w:r w:rsidR="00A47F75">
        <w:rPr>
          <w:b w:val="0"/>
          <w:sz w:val="24"/>
          <w:szCs w:val="24"/>
        </w:rPr>
        <w:t>Açúcar</w:t>
      </w:r>
      <w:proofErr w:type="spellEnd"/>
      <w:r w:rsidR="00A47F75">
        <w:rPr>
          <w:b w:val="0"/>
          <w:sz w:val="24"/>
          <w:szCs w:val="24"/>
        </w:rPr>
        <w:t>.</w:t>
      </w:r>
      <w:r w:rsidRPr="000A58DA">
        <w:rPr>
          <w:b w:val="0"/>
          <w:sz w:val="24"/>
          <w:szCs w:val="24"/>
        </w:rPr>
        <w:t xml:space="preserve">” </w:t>
      </w:r>
      <w:r w:rsidRPr="000A58DA">
        <w:rPr>
          <w:b w:val="0"/>
          <w:i/>
          <w:sz w:val="24"/>
          <w:szCs w:val="24"/>
        </w:rPr>
        <w:t xml:space="preserve">Valor </w:t>
      </w:r>
      <w:proofErr w:type="spellStart"/>
      <w:r w:rsidRPr="000A58DA">
        <w:rPr>
          <w:b w:val="0"/>
          <w:i/>
          <w:sz w:val="24"/>
          <w:szCs w:val="24"/>
        </w:rPr>
        <w:t>Econômico</w:t>
      </w:r>
      <w:proofErr w:type="spellEnd"/>
      <w:r w:rsidRPr="000A58DA">
        <w:rPr>
          <w:b w:val="0"/>
          <w:i/>
          <w:sz w:val="24"/>
          <w:szCs w:val="24"/>
        </w:rPr>
        <w:t xml:space="preserve">, </w:t>
      </w:r>
      <w:r w:rsidRPr="000A58DA">
        <w:rPr>
          <w:b w:val="0"/>
          <w:sz w:val="24"/>
          <w:szCs w:val="24"/>
        </w:rPr>
        <w:t>June 28.</w:t>
      </w:r>
    </w:p>
    <w:p w:rsidR="00151BCF" w:rsidRPr="000A58DA" w:rsidRDefault="00151BCF" w:rsidP="000F0D08">
      <w:pPr>
        <w:autoSpaceDE w:val="0"/>
        <w:autoSpaceDN w:val="0"/>
        <w:adjustRightInd w:val="0"/>
        <w:spacing w:line="480" w:lineRule="auto"/>
        <w:ind w:left="432" w:hanging="432"/>
        <w:rPr>
          <w:rFonts w:cs="Times New Roman"/>
          <w:szCs w:val="24"/>
        </w:rPr>
      </w:pPr>
      <w:r w:rsidRPr="000A58DA">
        <w:rPr>
          <w:rFonts w:cs="Times New Roman"/>
          <w:szCs w:val="24"/>
        </w:rPr>
        <w:t>Rossi, P. and D.M. Prates. 2009. “</w:t>
      </w:r>
      <w:proofErr w:type="spellStart"/>
      <w:r w:rsidRPr="000A58DA">
        <w:rPr>
          <w:rFonts w:cs="Times New Roman"/>
          <w:szCs w:val="24"/>
        </w:rPr>
        <w:t>Projeto</w:t>
      </w:r>
      <w:proofErr w:type="spellEnd"/>
      <w:r w:rsidRPr="000A58DA">
        <w:rPr>
          <w:rFonts w:cs="Times New Roman"/>
          <w:szCs w:val="24"/>
        </w:rPr>
        <w:t xml:space="preserve"> de </w:t>
      </w:r>
      <w:proofErr w:type="spellStart"/>
      <w:r w:rsidRPr="000A58DA">
        <w:rPr>
          <w:rFonts w:cs="Times New Roman"/>
          <w:szCs w:val="24"/>
        </w:rPr>
        <w:t>Estudos</w:t>
      </w:r>
      <w:proofErr w:type="spellEnd"/>
      <w:r w:rsidRPr="000A58DA">
        <w:rPr>
          <w:rFonts w:cs="Times New Roman"/>
          <w:szCs w:val="24"/>
        </w:rPr>
        <w:t xml:space="preserve"> </w:t>
      </w:r>
      <w:proofErr w:type="spellStart"/>
      <w:r w:rsidRPr="000A58DA">
        <w:rPr>
          <w:rFonts w:cs="Times New Roman"/>
          <w:szCs w:val="24"/>
        </w:rPr>
        <w:t>sobre</w:t>
      </w:r>
      <w:proofErr w:type="spellEnd"/>
      <w:r w:rsidRPr="000A58DA">
        <w:rPr>
          <w:rFonts w:cs="Times New Roman"/>
          <w:szCs w:val="24"/>
        </w:rPr>
        <w:t xml:space="preserve"> a </w:t>
      </w:r>
      <w:proofErr w:type="spellStart"/>
      <w:r w:rsidRPr="000A58DA">
        <w:rPr>
          <w:rFonts w:cs="Times New Roman"/>
          <w:szCs w:val="24"/>
        </w:rPr>
        <w:t>Indústria</w:t>
      </w:r>
      <w:proofErr w:type="spellEnd"/>
      <w:r w:rsidRPr="000A58DA">
        <w:rPr>
          <w:rFonts w:cs="Times New Roman"/>
          <w:szCs w:val="24"/>
        </w:rPr>
        <w:t xml:space="preserve"> </w:t>
      </w:r>
      <w:proofErr w:type="spellStart"/>
      <w:r w:rsidRPr="000A58DA">
        <w:rPr>
          <w:rFonts w:cs="Times New Roman"/>
          <w:szCs w:val="24"/>
        </w:rPr>
        <w:t>Financeira</w:t>
      </w:r>
      <w:proofErr w:type="spellEnd"/>
      <w:r w:rsidRPr="000A58DA">
        <w:rPr>
          <w:rFonts w:cs="Times New Roman"/>
          <w:szCs w:val="24"/>
        </w:rPr>
        <w:t xml:space="preserve"> </w:t>
      </w:r>
      <w:proofErr w:type="spellStart"/>
      <w:r w:rsidRPr="000A58DA">
        <w:rPr>
          <w:rFonts w:cs="Times New Roman"/>
          <w:szCs w:val="24"/>
        </w:rPr>
        <w:t>Brasileir</w:t>
      </w:r>
      <w:r w:rsidR="00A47F75">
        <w:rPr>
          <w:rFonts w:cs="Times New Roman"/>
          <w:szCs w:val="24"/>
        </w:rPr>
        <w:t>a</w:t>
      </w:r>
      <w:proofErr w:type="spellEnd"/>
      <w:r w:rsidR="00A47F75">
        <w:rPr>
          <w:rFonts w:cs="Times New Roman"/>
          <w:szCs w:val="24"/>
        </w:rPr>
        <w:t xml:space="preserve"> e o </w:t>
      </w:r>
      <w:proofErr w:type="spellStart"/>
      <w:r w:rsidR="00A47F75">
        <w:rPr>
          <w:rFonts w:cs="Times New Roman"/>
          <w:szCs w:val="24"/>
        </w:rPr>
        <w:t>Papel</w:t>
      </w:r>
      <w:proofErr w:type="spellEnd"/>
      <w:r w:rsidR="00A47F75">
        <w:rPr>
          <w:rFonts w:cs="Times New Roman"/>
          <w:szCs w:val="24"/>
        </w:rPr>
        <w:t xml:space="preserve"> dos </w:t>
      </w:r>
      <w:proofErr w:type="spellStart"/>
      <w:r w:rsidR="00A47F75">
        <w:rPr>
          <w:rFonts w:cs="Times New Roman"/>
          <w:szCs w:val="24"/>
        </w:rPr>
        <w:t>Bancos</w:t>
      </w:r>
      <w:proofErr w:type="spellEnd"/>
      <w:r w:rsidR="00A47F75">
        <w:rPr>
          <w:rFonts w:cs="Times New Roman"/>
          <w:szCs w:val="24"/>
        </w:rPr>
        <w:t xml:space="preserve"> </w:t>
      </w:r>
      <w:proofErr w:type="spellStart"/>
      <w:r w:rsidR="00A47F75">
        <w:rPr>
          <w:rFonts w:cs="Times New Roman"/>
          <w:szCs w:val="24"/>
        </w:rPr>
        <w:t>Públicos</w:t>
      </w:r>
      <w:proofErr w:type="spellEnd"/>
      <w:r w:rsidR="00A47F75">
        <w:rPr>
          <w:rFonts w:cs="Times New Roman"/>
          <w:szCs w:val="24"/>
        </w:rPr>
        <w:t>.</w:t>
      </w:r>
      <w:r w:rsidRPr="000A58DA">
        <w:rPr>
          <w:rFonts w:cs="Times New Roman"/>
          <w:szCs w:val="24"/>
        </w:rPr>
        <w:t xml:space="preserve">” Campinas, MG: </w:t>
      </w:r>
      <w:proofErr w:type="spellStart"/>
      <w:r w:rsidRPr="000A58DA">
        <w:rPr>
          <w:rFonts w:cs="Times New Roman"/>
          <w:szCs w:val="24"/>
        </w:rPr>
        <w:t>Fundação</w:t>
      </w:r>
      <w:proofErr w:type="spellEnd"/>
      <w:r w:rsidRPr="000A58DA">
        <w:rPr>
          <w:rFonts w:cs="Times New Roman"/>
          <w:szCs w:val="24"/>
        </w:rPr>
        <w:t xml:space="preserve"> </w:t>
      </w:r>
      <w:proofErr w:type="spellStart"/>
      <w:r w:rsidRPr="000A58DA">
        <w:rPr>
          <w:rFonts w:cs="Times New Roman"/>
          <w:szCs w:val="24"/>
        </w:rPr>
        <w:t>Economia</w:t>
      </w:r>
      <w:proofErr w:type="spellEnd"/>
      <w:r w:rsidRPr="000A58DA">
        <w:rPr>
          <w:rFonts w:cs="Times New Roman"/>
          <w:szCs w:val="24"/>
        </w:rPr>
        <w:t xml:space="preserve"> de Campinas (FECAMP).</w:t>
      </w:r>
    </w:p>
    <w:p w:rsidR="00151BCF" w:rsidRPr="000A58DA" w:rsidRDefault="00A47F75" w:rsidP="00A47F75">
      <w:pPr>
        <w:autoSpaceDE w:val="0"/>
        <w:autoSpaceDN w:val="0"/>
        <w:adjustRightInd w:val="0"/>
        <w:spacing w:line="480" w:lineRule="auto"/>
        <w:ind w:left="432" w:hanging="432"/>
        <w:rPr>
          <w:rFonts w:cs="Times New Roman"/>
          <w:szCs w:val="24"/>
        </w:rPr>
      </w:pPr>
      <w:proofErr w:type="spellStart"/>
      <w:r>
        <w:rPr>
          <w:rFonts w:cs="Times New Roman"/>
          <w:szCs w:val="24"/>
        </w:rPr>
        <w:t>Shleifer</w:t>
      </w:r>
      <w:proofErr w:type="spellEnd"/>
      <w:r>
        <w:rPr>
          <w:rFonts w:cs="Times New Roman"/>
          <w:szCs w:val="24"/>
        </w:rPr>
        <w:t xml:space="preserve">, A. 1998. “State versus Private Ownership.” </w:t>
      </w:r>
      <w:r w:rsidR="00151BCF" w:rsidRPr="000A58DA">
        <w:rPr>
          <w:rFonts w:cs="Times New Roman"/>
          <w:szCs w:val="24"/>
        </w:rPr>
        <w:t xml:space="preserve"> </w:t>
      </w:r>
      <w:r w:rsidR="00151BCF" w:rsidRPr="000A58DA">
        <w:rPr>
          <w:rFonts w:cs="Times New Roman"/>
          <w:i/>
          <w:iCs/>
          <w:szCs w:val="24"/>
        </w:rPr>
        <w:t xml:space="preserve">Journal of Economic Perspectives, </w:t>
      </w:r>
      <w:r>
        <w:rPr>
          <w:rFonts w:cs="Times New Roman"/>
          <w:szCs w:val="24"/>
        </w:rPr>
        <w:t xml:space="preserve">12: 4, </w:t>
      </w:r>
      <w:r w:rsidR="00151BCF" w:rsidRPr="000A58DA">
        <w:rPr>
          <w:rFonts w:cs="Times New Roman"/>
          <w:szCs w:val="24"/>
        </w:rPr>
        <w:t>pp. 133–50.</w:t>
      </w:r>
    </w:p>
    <w:p w:rsidR="00151BCF" w:rsidRPr="000A58DA" w:rsidRDefault="00151BCF" w:rsidP="000F0D08">
      <w:pPr>
        <w:spacing w:line="480" w:lineRule="auto"/>
        <w:ind w:left="432" w:hanging="432"/>
        <w:rPr>
          <w:rFonts w:cs="Times New Roman"/>
          <w:szCs w:val="24"/>
        </w:rPr>
      </w:pPr>
      <w:r w:rsidRPr="000A58DA">
        <w:rPr>
          <w:rFonts w:cs="Times New Roman"/>
          <w:szCs w:val="24"/>
        </w:rPr>
        <w:t>Shapiro, Helen. 2007</w:t>
      </w:r>
      <w:r w:rsidR="00A47F75">
        <w:rPr>
          <w:rFonts w:cs="Times New Roman"/>
          <w:szCs w:val="24"/>
        </w:rPr>
        <w:t>. “Industrial Policy and Growth.</w:t>
      </w:r>
      <w:r w:rsidRPr="000A58DA">
        <w:rPr>
          <w:rFonts w:cs="Times New Roman"/>
          <w:szCs w:val="24"/>
        </w:rPr>
        <w:t>” United Nations, Department of Economic and Social Affairs (UN/DESA), Working Paper #53, August.</w:t>
      </w:r>
    </w:p>
    <w:p w:rsidR="00151BCF" w:rsidRPr="000A58DA" w:rsidRDefault="00151BCF" w:rsidP="000F0D08">
      <w:pPr>
        <w:spacing w:line="480" w:lineRule="auto"/>
        <w:ind w:left="432" w:hanging="432"/>
        <w:rPr>
          <w:rFonts w:cs="Times New Roman"/>
          <w:szCs w:val="24"/>
        </w:rPr>
      </w:pPr>
      <w:r w:rsidRPr="000A58DA">
        <w:rPr>
          <w:rFonts w:cs="Times New Roman"/>
          <w:szCs w:val="24"/>
        </w:rPr>
        <w:t>Skidmore,  Thomas E. 1973. “Politics and Economic Policy Making i</w:t>
      </w:r>
      <w:r w:rsidR="00A47F75">
        <w:rPr>
          <w:rFonts w:cs="Times New Roman"/>
          <w:szCs w:val="24"/>
        </w:rPr>
        <w:t>n Authoritarian Brazil, 1937-71.” I</w:t>
      </w:r>
      <w:r w:rsidRPr="000A58DA">
        <w:rPr>
          <w:rFonts w:cs="Times New Roman"/>
          <w:szCs w:val="24"/>
        </w:rPr>
        <w:t xml:space="preserve">n Alfred </w:t>
      </w:r>
      <w:proofErr w:type="spellStart"/>
      <w:r w:rsidRPr="000A58DA">
        <w:rPr>
          <w:rFonts w:cs="Times New Roman"/>
          <w:szCs w:val="24"/>
        </w:rPr>
        <w:t>Stepan</w:t>
      </w:r>
      <w:proofErr w:type="spellEnd"/>
      <w:r w:rsidRPr="000A58DA">
        <w:rPr>
          <w:rFonts w:cs="Times New Roman"/>
          <w:szCs w:val="24"/>
        </w:rPr>
        <w:t xml:space="preserve">, ed. </w:t>
      </w:r>
      <w:r w:rsidRPr="000A58DA">
        <w:rPr>
          <w:rFonts w:cs="Times New Roman"/>
          <w:i/>
          <w:szCs w:val="24"/>
        </w:rPr>
        <w:t xml:space="preserve">Authoritarian Brazil: Origins, Policies, and Future. </w:t>
      </w:r>
      <w:r w:rsidRPr="000A58DA">
        <w:rPr>
          <w:rFonts w:cs="Times New Roman"/>
          <w:szCs w:val="24"/>
        </w:rPr>
        <w:t>New Haven: Yale University Press.</w:t>
      </w:r>
    </w:p>
    <w:p w:rsidR="007235A0" w:rsidRPr="00831223" w:rsidRDefault="007235A0" w:rsidP="007235A0">
      <w:pPr>
        <w:spacing w:line="480" w:lineRule="auto"/>
        <w:ind w:left="432" w:hanging="432"/>
        <w:rPr>
          <w:szCs w:val="24"/>
        </w:rPr>
      </w:pPr>
      <w:r w:rsidRPr="00831223">
        <w:rPr>
          <w:szCs w:val="24"/>
        </w:rPr>
        <w:t>Sola</w:t>
      </w:r>
      <w:r>
        <w:rPr>
          <w:szCs w:val="24"/>
        </w:rPr>
        <w:t>, Lourdes and Laurence Whitehead, eds. 2005.</w:t>
      </w:r>
      <w:r w:rsidRPr="00831223">
        <w:rPr>
          <w:szCs w:val="24"/>
        </w:rPr>
        <w:t xml:space="preserve"> </w:t>
      </w:r>
      <w:proofErr w:type="spellStart"/>
      <w:r w:rsidRPr="00831223">
        <w:rPr>
          <w:i/>
          <w:iCs/>
          <w:szCs w:val="24"/>
        </w:rPr>
        <w:t>Statecrafting</w:t>
      </w:r>
      <w:proofErr w:type="spellEnd"/>
      <w:r w:rsidRPr="00831223">
        <w:rPr>
          <w:i/>
          <w:iCs/>
          <w:szCs w:val="24"/>
        </w:rPr>
        <w:t xml:space="preserve"> Monetary Reform: Democracy and Financial Order in Brazil, </w:t>
      </w:r>
      <w:r w:rsidRPr="00831223">
        <w:rPr>
          <w:szCs w:val="24"/>
        </w:rPr>
        <w:t>Oxford: Centre for Brazilian Studi</w:t>
      </w:r>
      <w:r>
        <w:rPr>
          <w:szCs w:val="24"/>
        </w:rPr>
        <w:t>es, Oxford University, Fall</w:t>
      </w:r>
      <w:r w:rsidRPr="00831223">
        <w:rPr>
          <w:szCs w:val="24"/>
        </w:rPr>
        <w:t>.</w:t>
      </w:r>
    </w:p>
    <w:p w:rsidR="00151BCF" w:rsidRPr="000A58DA" w:rsidRDefault="00151BCF" w:rsidP="000F0D08">
      <w:pPr>
        <w:spacing w:line="480" w:lineRule="auto"/>
        <w:ind w:left="432" w:hanging="432"/>
        <w:rPr>
          <w:rFonts w:cs="Times New Roman"/>
          <w:bCs/>
          <w:szCs w:val="24"/>
        </w:rPr>
      </w:pPr>
      <w:proofErr w:type="spellStart"/>
      <w:r w:rsidRPr="000A58DA">
        <w:rPr>
          <w:rFonts w:cs="Times New Roman"/>
          <w:bCs/>
          <w:szCs w:val="24"/>
        </w:rPr>
        <w:t>Syvrud</w:t>
      </w:r>
      <w:proofErr w:type="spellEnd"/>
      <w:r w:rsidRPr="000A58DA">
        <w:rPr>
          <w:rFonts w:cs="Times New Roman"/>
          <w:bCs/>
          <w:szCs w:val="24"/>
        </w:rPr>
        <w:t xml:space="preserve">, Donald. 1975. </w:t>
      </w:r>
      <w:r w:rsidRPr="000A58DA">
        <w:rPr>
          <w:rFonts w:cs="Times New Roman"/>
          <w:bCs/>
          <w:i/>
          <w:szCs w:val="24"/>
        </w:rPr>
        <w:t xml:space="preserve">Foundations of Brazilian Economic Growth. </w:t>
      </w:r>
      <w:r w:rsidRPr="000A58DA">
        <w:rPr>
          <w:rFonts w:cs="Times New Roman"/>
          <w:bCs/>
          <w:szCs w:val="24"/>
        </w:rPr>
        <w:t>Stanford, California: Hoover Institution Press.</w:t>
      </w:r>
    </w:p>
    <w:p w:rsidR="00151BCF" w:rsidRPr="000A58DA" w:rsidRDefault="00151BCF" w:rsidP="000F0D08">
      <w:pPr>
        <w:autoSpaceDE w:val="0"/>
        <w:autoSpaceDN w:val="0"/>
        <w:adjustRightInd w:val="0"/>
        <w:spacing w:line="480" w:lineRule="auto"/>
        <w:ind w:left="432" w:hanging="432"/>
        <w:rPr>
          <w:rFonts w:cs="Times New Roman"/>
          <w:szCs w:val="24"/>
        </w:rPr>
      </w:pPr>
      <w:r w:rsidRPr="000A58DA">
        <w:rPr>
          <w:rFonts w:cs="Times New Roman"/>
          <w:szCs w:val="24"/>
        </w:rPr>
        <w:t xml:space="preserve">Torres </w:t>
      </w:r>
      <w:proofErr w:type="spellStart"/>
      <w:r w:rsidRPr="000A58DA">
        <w:rPr>
          <w:rFonts w:cs="Times New Roman"/>
          <w:szCs w:val="24"/>
        </w:rPr>
        <w:t>Filho</w:t>
      </w:r>
      <w:proofErr w:type="spellEnd"/>
      <w:r w:rsidRPr="000A58DA">
        <w:rPr>
          <w:rFonts w:cs="Times New Roman"/>
          <w:szCs w:val="24"/>
        </w:rPr>
        <w:t>, E.T. 2005. “</w:t>
      </w:r>
      <w:r w:rsidRPr="000A58DA">
        <w:rPr>
          <w:rFonts w:cs="Times New Roman"/>
          <w:bCs/>
          <w:szCs w:val="24"/>
        </w:rPr>
        <w:t xml:space="preserve">A </w:t>
      </w:r>
      <w:proofErr w:type="spellStart"/>
      <w:r w:rsidRPr="000A58DA">
        <w:rPr>
          <w:rFonts w:cs="Times New Roman"/>
          <w:bCs/>
          <w:szCs w:val="24"/>
        </w:rPr>
        <w:t>Reforma</w:t>
      </w:r>
      <w:proofErr w:type="spellEnd"/>
      <w:r w:rsidRPr="000A58DA">
        <w:rPr>
          <w:rFonts w:cs="Times New Roman"/>
          <w:bCs/>
          <w:szCs w:val="24"/>
        </w:rPr>
        <w:t xml:space="preserve"> do </w:t>
      </w:r>
      <w:proofErr w:type="spellStart"/>
      <w:r w:rsidRPr="000A58DA">
        <w:rPr>
          <w:rFonts w:cs="Times New Roman"/>
          <w:bCs/>
          <w:szCs w:val="24"/>
        </w:rPr>
        <w:t>Sistema</w:t>
      </w:r>
      <w:proofErr w:type="spellEnd"/>
      <w:r w:rsidRPr="000A58DA">
        <w:rPr>
          <w:rFonts w:cs="Times New Roman"/>
          <w:bCs/>
          <w:szCs w:val="24"/>
        </w:rPr>
        <w:t xml:space="preserve"> FAT-B</w:t>
      </w:r>
      <w:r w:rsidR="00A47F75">
        <w:rPr>
          <w:rFonts w:cs="Times New Roman"/>
          <w:bCs/>
          <w:szCs w:val="24"/>
        </w:rPr>
        <w:t xml:space="preserve">NDES: </w:t>
      </w:r>
      <w:proofErr w:type="spellStart"/>
      <w:r w:rsidR="00A47F75">
        <w:rPr>
          <w:rFonts w:cs="Times New Roman"/>
          <w:bCs/>
          <w:szCs w:val="24"/>
        </w:rPr>
        <w:t>Críticas</w:t>
      </w:r>
      <w:proofErr w:type="spellEnd"/>
      <w:r w:rsidR="00A47F75">
        <w:rPr>
          <w:rFonts w:cs="Times New Roman"/>
          <w:bCs/>
          <w:szCs w:val="24"/>
        </w:rPr>
        <w:t xml:space="preserve"> à </w:t>
      </w:r>
      <w:proofErr w:type="spellStart"/>
      <w:r w:rsidR="00A47F75">
        <w:rPr>
          <w:rFonts w:cs="Times New Roman"/>
          <w:bCs/>
          <w:szCs w:val="24"/>
        </w:rPr>
        <w:t>Proposta</w:t>
      </w:r>
      <w:proofErr w:type="spellEnd"/>
      <w:r w:rsidR="00A47F75">
        <w:rPr>
          <w:rFonts w:cs="Times New Roman"/>
          <w:bCs/>
          <w:szCs w:val="24"/>
        </w:rPr>
        <w:t xml:space="preserve"> </w:t>
      </w:r>
      <w:proofErr w:type="spellStart"/>
      <w:r w:rsidR="00A47F75">
        <w:rPr>
          <w:rFonts w:cs="Times New Roman"/>
          <w:bCs/>
          <w:szCs w:val="24"/>
        </w:rPr>
        <w:t>Arida</w:t>
      </w:r>
      <w:proofErr w:type="spellEnd"/>
      <w:r w:rsidR="00A47F75">
        <w:rPr>
          <w:rFonts w:cs="Times New Roman"/>
          <w:bCs/>
          <w:szCs w:val="24"/>
        </w:rPr>
        <w:t>.</w:t>
      </w:r>
      <w:r w:rsidRPr="000A58DA">
        <w:rPr>
          <w:rFonts w:cs="Times New Roman"/>
          <w:bCs/>
          <w:szCs w:val="24"/>
        </w:rPr>
        <w:t xml:space="preserve">” </w:t>
      </w:r>
      <w:proofErr w:type="spellStart"/>
      <w:r w:rsidR="00A47F75">
        <w:rPr>
          <w:rFonts w:cs="Times New Roman"/>
          <w:bCs/>
          <w:i/>
          <w:szCs w:val="24"/>
        </w:rPr>
        <w:t>R</w:t>
      </w:r>
      <w:r w:rsidRPr="000A58DA">
        <w:rPr>
          <w:rFonts w:cs="Times New Roman"/>
          <w:bCs/>
          <w:i/>
          <w:szCs w:val="24"/>
        </w:rPr>
        <w:t>evista</w:t>
      </w:r>
      <w:proofErr w:type="spellEnd"/>
      <w:r w:rsidRPr="000A58DA">
        <w:rPr>
          <w:rFonts w:cs="Times New Roman"/>
          <w:bCs/>
          <w:i/>
          <w:szCs w:val="24"/>
        </w:rPr>
        <w:t xml:space="preserve"> do BNDES, </w:t>
      </w:r>
      <w:r w:rsidRPr="000A58DA">
        <w:rPr>
          <w:rFonts w:cs="Times New Roman"/>
          <w:bCs/>
          <w:szCs w:val="24"/>
        </w:rPr>
        <w:t>12:24, December, pp. 31-42.</w:t>
      </w:r>
    </w:p>
    <w:p w:rsidR="00151BCF" w:rsidRPr="000A58DA" w:rsidRDefault="00151BCF" w:rsidP="000F0D08">
      <w:pPr>
        <w:autoSpaceDE w:val="0"/>
        <w:autoSpaceDN w:val="0"/>
        <w:adjustRightInd w:val="0"/>
        <w:spacing w:line="480" w:lineRule="auto"/>
        <w:ind w:left="432" w:hanging="432"/>
        <w:rPr>
          <w:rFonts w:cs="Times New Roman"/>
          <w:szCs w:val="24"/>
        </w:rPr>
      </w:pPr>
      <w:r w:rsidRPr="000A58DA">
        <w:rPr>
          <w:rFonts w:cs="Times New Roman"/>
          <w:szCs w:val="24"/>
        </w:rPr>
        <w:t xml:space="preserve">Torres </w:t>
      </w:r>
      <w:proofErr w:type="spellStart"/>
      <w:r w:rsidRPr="000A58DA">
        <w:rPr>
          <w:rFonts w:cs="Times New Roman"/>
          <w:szCs w:val="24"/>
        </w:rPr>
        <w:t>Filho</w:t>
      </w:r>
      <w:proofErr w:type="spellEnd"/>
      <w:r w:rsidRPr="000A58DA">
        <w:rPr>
          <w:rFonts w:cs="Times New Roman"/>
          <w:szCs w:val="24"/>
        </w:rPr>
        <w:t>, E.T. 2009. “</w:t>
      </w:r>
      <w:proofErr w:type="spellStart"/>
      <w:r w:rsidRPr="000A58DA">
        <w:rPr>
          <w:rFonts w:cs="Times New Roman"/>
          <w:bCs/>
          <w:szCs w:val="24"/>
        </w:rPr>
        <w:t>Papel</w:t>
      </w:r>
      <w:proofErr w:type="spellEnd"/>
      <w:r w:rsidRPr="000A58DA">
        <w:rPr>
          <w:rFonts w:cs="Times New Roman"/>
          <w:bCs/>
          <w:szCs w:val="24"/>
        </w:rPr>
        <w:t xml:space="preserve"> dos </w:t>
      </w:r>
      <w:proofErr w:type="spellStart"/>
      <w:r w:rsidRPr="000A58DA">
        <w:rPr>
          <w:rFonts w:cs="Times New Roman"/>
          <w:bCs/>
          <w:szCs w:val="24"/>
        </w:rPr>
        <w:t>Bancos</w:t>
      </w:r>
      <w:proofErr w:type="spellEnd"/>
      <w:r w:rsidRPr="000A58DA">
        <w:rPr>
          <w:rFonts w:cs="Times New Roman"/>
          <w:bCs/>
          <w:szCs w:val="24"/>
        </w:rPr>
        <w:t xml:space="preserve"> </w:t>
      </w:r>
      <w:proofErr w:type="spellStart"/>
      <w:r w:rsidRPr="000A58DA">
        <w:rPr>
          <w:rFonts w:cs="Times New Roman"/>
          <w:bCs/>
          <w:szCs w:val="24"/>
        </w:rPr>
        <w:t>Públicos</w:t>
      </w:r>
      <w:proofErr w:type="spellEnd"/>
      <w:r w:rsidRPr="000A58DA">
        <w:rPr>
          <w:rFonts w:cs="Times New Roman"/>
          <w:bCs/>
          <w:szCs w:val="24"/>
        </w:rPr>
        <w:t xml:space="preserve">: o </w:t>
      </w:r>
      <w:proofErr w:type="spellStart"/>
      <w:r w:rsidRPr="000A58DA">
        <w:rPr>
          <w:rFonts w:cs="Times New Roman"/>
          <w:bCs/>
          <w:szCs w:val="24"/>
        </w:rPr>
        <w:t>Caso</w:t>
      </w:r>
      <w:proofErr w:type="spellEnd"/>
      <w:r w:rsidRPr="000A58DA">
        <w:rPr>
          <w:rFonts w:cs="Times New Roman"/>
          <w:bCs/>
          <w:szCs w:val="24"/>
        </w:rPr>
        <w:t xml:space="preserve"> do BNDES,” </w:t>
      </w:r>
      <w:proofErr w:type="spellStart"/>
      <w:r w:rsidRPr="000A58DA">
        <w:rPr>
          <w:rFonts w:cs="Times New Roman"/>
          <w:bCs/>
          <w:szCs w:val="24"/>
        </w:rPr>
        <w:t>Powerpoint</w:t>
      </w:r>
      <w:proofErr w:type="spellEnd"/>
      <w:r w:rsidRPr="000A58DA">
        <w:rPr>
          <w:rFonts w:cs="Times New Roman"/>
          <w:bCs/>
          <w:szCs w:val="24"/>
        </w:rPr>
        <w:t xml:space="preserve"> presentation, </w:t>
      </w:r>
      <w:r w:rsidRPr="000A58DA">
        <w:rPr>
          <w:rFonts w:cs="Times New Roman"/>
          <w:szCs w:val="24"/>
        </w:rPr>
        <w:t xml:space="preserve">5ª </w:t>
      </w:r>
      <w:proofErr w:type="spellStart"/>
      <w:r w:rsidRPr="000A58DA">
        <w:rPr>
          <w:rFonts w:cs="Times New Roman"/>
          <w:szCs w:val="24"/>
        </w:rPr>
        <w:t>Jornada</w:t>
      </w:r>
      <w:proofErr w:type="spellEnd"/>
      <w:r w:rsidRPr="000A58DA">
        <w:rPr>
          <w:rFonts w:cs="Times New Roman"/>
          <w:szCs w:val="24"/>
        </w:rPr>
        <w:t xml:space="preserve"> de </w:t>
      </w:r>
      <w:proofErr w:type="spellStart"/>
      <w:r w:rsidRPr="000A58DA">
        <w:rPr>
          <w:rFonts w:cs="Times New Roman"/>
          <w:szCs w:val="24"/>
        </w:rPr>
        <w:t>Estudos</w:t>
      </w:r>
      <w:proofErr w:type="spellEnd"/>
      <w:r w:rsidRPr="000A58DA">
        <w:rPr>
          <w:rFonts w:cs="Times New Roman"/>
          <w:szCs w:val="24"/>
        </w:rPr>
        <w:t xml:space="preserve"> de </w:t>
      </w:r>
      <w:proofErr w:type="spellStart"/>
      <w:r w:rsidRPr="000A58DA">
        <w:rPr>
          <w:rFonts w:cs="Times New Roman"/>
          <w:szCs w:val="24"/>
        </w:rPr>
        <w:t>Regulação</w:t>
      </w:r>
      <w:proofErr w:type="spellEnd"/>
      <w:r w:rsidRPr="000A58DA">
        <w:rPr>
          <w:rFonts w:cs="Times New Roman"/>
          <w:szCs w:val="24"/>
        </w:rPr>
        <w:t>, Rio de Janeiro: IPEA, November.</w:t>
      </w:r>
    </w:p>
    <w:p w:rsidR="00151BCF" w:rsidRPr="000A58DA" w:rsidRDefault="00151BCF" w:rsidP="000F0D08">
      <w:pPr>
        <w:tabs>
          <w:tab w:val="left" w:pos="864"/>
        </w:tabs>
        <w:spacing w:line="480" w:lineRule="auto"/>
        <w:ind w:left="432" w:hanging="432"/>
        <w:rPr>
          <w:rFonts w:cs="Times New Roman"/>
          <w:szCs w:val="24"/>
        </w:rPr>
      </w:pPr>
      <w:r w:rsidRPr="000A58DA">
        <w:rPr>
          <w:rFonts w:cs="Times New Roman"/>
          <w:szCs w:val="24"/>
        </w:rPr>
        <w:t xml:space="preserve">Torres </w:t>
      </w:r>
      <w:proofErr w:type="spellStart"/>
      <w:r w:rsidRPr="000A58DA">
        <w:rPr>
          <w:rFonts w:cs="Times New Roman"/>
          <w:szCs w:val="24"/>
        </w:rPr>
        <w:t>Filho</w:t>
      </w:r>
      <w:proofErr w:type="spellEnd"/>
      <w:r w:rsidRPr="000A58DA">
        <w:rPr>
          <w:rFonts w:cs="Times New Roman"/>
          <w:szCs w:val="24"/>
        </w:rPr>
        <w:t xml:space="preserve">, E.T. and F.N. Costa. 2012. “BNDES e o </w:t>
      </w:r>
      <w:proofErr w:type="spellStart"/>
      <w:r w:rsidRPr="000A58DA">
        <w:rPr>
          <w:rFonts w:cs="Times New Roman"/>
          <w:szCs w:val="24"/>
        </w:rPr>
        <w:t>financiamento</w:t>
      </w:r>
      <w:proofErr w:type="spellEnd"/>
      <w:r w:rsidRPr="000A58DA">
        <w:rPr>
          <w:rFonts w:cs="Times New Roman"/>
          <w:szCs w:val="24"/>
        </w:rPr>
        <w:t xml:space="preserve"> do </w:t>
      </w:r>
      <w:proofErr w:type="spellStart"/>
      <w:r w:rsidRPr="000A58DA">
        <w:rPr>
          <w:rFonts w:cs="Times New Roman"/>
          <w:szCs w:val="24"/>
        </w:rPr>
        <w:t>desenvolvimento</w:t>
      </w:r>
      <w:proofErr w:type="spellEnd"/>
      <w:r w:rsidRPr="000A58DA">
        <w:rPr>
          <w:rFonts w:cs="Times New Roman"/>
          <w:szCs w:val="24"/>
        </w:rPr>
        <w:t xml:space="preserve">,” </w:t>
      </w:r>
      <w:proofErr w:type="spellStart"/>
      <w:r w:rsidRPr="000A58DA">
        <w:rPr>
          <w:rFonts w:cs="Times New Roman"/>
          <w:i/>
          <w:szCs w:val="24"/>
        </w:rPr>
        <w:t>Economia</w:t>
      </w:r>
      <w:proofErr w:type="spellEnd"/>
      <w:r w:rsidRPr="000A58DA">
        <w:rPr>
          <w:rFonts w:cs="Times New Roman"/>
          <w:i/>
          <w:szCs w:val="24"/>
        </w:rPr>
        <w:t xml:space="preserve"> e </w:t>
      </w:r>
      <w:proofErr w:type="spellStart"/>
      <w:r w:rsidRPr="000A58DA">
        <w:rPr>
          <w:rFonts w:cs="Times New Roman"/>
          <w:i/>
          <w:szCs w:val="24"/>
        </w:rPr>
        <w:t>Sociedade</w:t>
      </w:r>
      <w:proofErr w:type="spellEnd"/>
      <w:r w:rsidRPr="000A58DA">
        <w:rPr>
          <w:rFonts w:cs="Times New Roman"/>
          <w:szCs w:val="24"/>
        </w:rPr>
        <w:t xml:space="preserve">, Campinas, v. 21, </w:t>
      </w:r>
      <w:proofErr w:type="spellStart"/>
      <w:r w:rsidRPr="000A58DA">
        <w:rPr>
          <w:rFonts w:cs="Times New Roman"/>
          <w:szCs w:val="24"/>
        </w:rPr>
        <w:t>Número</w:t>
      </w:r>
      <w:proofErr w:type="spellEnd"/>
      <w:r w:rsidRPr="000A58DA">
        <w:rPr>
          <w:rFonts w:cs="Times New Roman"/>
          <w:szCs w:val="24"/>
        </w:rPr>
        <w:t xml:space="preserve"> Especial, December,  pp. 975-1009.</w:t>
      </w:r>
    </w:p>
    <w:p w:rsidR="00151BCF" w:rsidRPr="000A58DA" w:rsidRDefault="00151BCF" w:rsidP="000F0D08">
      <w:pPr>
        <w:tabs>
          <w:tab w:val="left" w:pos="864"/>
        </w:tabs>
        <w:spacing w:line="480" w:lineRule="auto"/>
        <w:ind w:left="432" w:hanging="432"/>
        <w:rPr>
          <w:rFonts w:cs="Times New Roman"/>
          <w:szCs w:val="24"/>
        </w:rPr>
      </w:pPr>
      <w:proofErr w:type="spellStart"/>
      <w:r w:rsidRPr="000A58DA">
        <w:rPr>
          <w:rFonts w:cs="Times New Roman"/>
          <w:szCs w:val="24"/>
        </w:rPr>
        <w:lastRenderedPageBreak/>
        <w:t>Trubeck</w:t>
      </w:r>
      <w:proofErr w:type="spellEnd"/>
      <w:r w:rsidRPr="000A58DA">
        <w:rPr>
          <w:rFonts w:cs="Times New Roman"/>
          <w:szCs w:val="24"/>
        </w:rPr>
        <w:t xml:space="preserve">, David M., 1971.  "Law, Planning, and the Development of the Brazilian Capital Market," </w:t>
      </w:r>
      <w:r w:rsidRPr="000A58DA">
        <w:rPr>
          <w:rFonts w:cs="Times New Roman"/>
          <w:i/>
          <w:iCs/>
          <w:szCs w:val="24"/>
        </w:rPr>
        <w:t>The Bulletin</w:t>
      </w:r>
      <w:r w:rsidRPr="000A58DA">
        <w:rPr>
          <w:rFonts w:cs="Times New Roman"/>
          <w:szCs w:val="24"/>
        </w:rPr>
        <w:t>, New York University, School of Business Administration, Institute of Finance, Nos. 72-73, April.</w:t>
      </w:r>
    </w:p>
    <w:p w:rsidR="00151BCF" w:rsidRPr="000A58DA" w:rsidRDefault="00151BCF" w:rsidP="000F0D08">
      <w:pPr>
        <w:spacing w:line="480" w:lineRule="auto"/>
        <w:ind w:left="432" w:hanging="432"/>
        <w:rPr>
          <w:rFonts w:cs="Times New Roman"/>
          <w:szCs w:val="24"/>
        </w:rPr>
      </w:pPr>
      <w:r w:rsidRPr="000A58DA">
        <w:rPr>
          <w:rFonts w:cs="Times New Roman"/>
          <w:szCs w:val="24"/>
        </w:rPr>
        <w:t xml:space="preserve">U.S. </w:t>
      </w:r>
      <w:proofErr w:type="spellStart"/>
      <w:r w:rsidRPr="000A58DA">
        <w:rPr>
          <w:rFonts w:cs="Times New Roman"/>
          <w:szCs w:val="24"/>
        </w:rPr>
        <w:t>Eximbank</w:t>
      </w:r>
      <w:proofErr w:type="spellEnd"/>
      <w:r w:rsidRPr="000A58DA">
        <w:rPr>
          <w:rFonts w:cs="Times New Roman"/>
          <w:szCs w:val="24"/>
        </w:rPr>
        <w:t xml:space="preserve">. 2005. </w:t>
      </w:r>
      <w:r w:rsidRPr="000A58DA">
        <w:rPr>
          <w:rFonts w:cs="Times New Roman"/>
          <w:i/>
          <w:szCs w:val="24"/>
        </w:rPr>
        <w:t xml:space="preserve">Report to the U.S. Congress on Export Credit Competition and the Export-Import Bank of the United States for the Period January 1, 2004 through December 31, 2004. </w:t>
      </w:r>
      <w:r w:rsidRPr="000A58DA">
        <w:rPr>
          <w:rFonts w:cs="Times New Roman"/>
          <w:szCs w:val="24"/>
        </w:rPr>
        <w:t xml:space="preserve">Washington, D.C.: U.S. </w:t>
      </w:r>
      <w:proofErr w:type="spellStart"/>
      <w:r w:rsidRPr="000A58DA">
        <w:rPr>
          <w:rFonts w:cs="Times New Roman"/>
          <w:szCs w:val="24"/>
        </w:rPr>
        <w:t>Eximbank</w:t>
      </w:r>
      <w:proofErr w:type="spellEnd"/>
      <w:r w:rsidRPr="000A58DA">
        <w:rPr>
          <w:rFonts w:cs="Times New Roman"/>
          <w:szCs w:val="24"/>
        </w:rPr>
        <w:t>.</w:t>
      </w:r>
    </w:p>
    <w:p w:rsidR="00151BCF" w:rsidRPr="000A58DA" w:rsidRDefault="00151BCF" w:rsidP="000F0D08">
      <w:pPr>
        <w:pStyle w:val="Heading2"/>
        <w:spacing w:before="0" w:line="480" w:lineRule="auto"/>
        <w:ind w:left="432" w:hanging="432"/>
        <w:rPr>
          <w:rFonts w:ascii="Times New Roman" w:hAnsi="Times New Roman" w:cs="Times New Roman"/>
          <w:b w:val="0"/>
          <w:color w:val="auto"/>
          <w:sz w:val="24"/>
          <w:szCs w:val="24"/>
        </w:rPr>
      </w:pPr>
      <w:r w:rsidRPr="000A58DA">
        <w:rPr>
          <w:rFonts w:ascii="Times New Roman" w:hAnsi="Times New Roman" w:cs="Times New Roman"/>
          <w:b w:val="0"/>
          <w:color w:val="auto"/>
          <w:sz w:val="24"/>
          <w:szCs w:val="24"/>
        </w:rPr>
        <w:t>Valle, Sabrina. 2012. “</w:t>
      </w:r>
      <w:proofErr w:type="spellStart"/>
      <w:r w:rsidRPr="000A58DA">
        <w:rPr>
          <w:rFonts w:ascii="Times New Roman" w:hAnsi="Times New Roman" w:cs="Times New Roman"/>
          <w:b w:val="0"/>
          <w:color w:val="auto"/>
          <w:sz w:val="24"/>
          <w:szCs w:val="24"/>
        </w:rPr>
        <w:t>A</w:t>
      </w:r>
      <w:r w:rsidR="00F77150">
        <w:rPr>
          <w:rFonts w:ascii="Times New Roman" w:hAnsi="Times New Roman" w:cs="Times New Roman"/>
          <w:b w:val="0"/>
          <w:color w:val="auto"/>
          <w:sz w:val="24"/>
          <w:szCs w:val="24"/>
        </w:rPr>
        <w:t>racruz</w:t>
      </w:r>
      <w:proofErr w:type="spellEnd"/>
      <w:r w:rsidR="00F77150">
        <w:rPr>
          <w:rFonts w:ascii="Times New Roman" w:hAnsi="Times New Roman" w:cs="Times New Roman"/>
          <w:b w:val="0"/>
          <w:color w:val="auto"/>
          <w:sz w:val="24"/>
          <w:szCs w:val="24"/>
        </w:rPr>
        <w:t xml:space="preserve">: </w:t>
      </w:r>
      <w:proofErr w:type="spellStart"/>
      <w:r w:rsidR="00F77150">
        <w:rPr>
          <w:rFonts w:ascii="Times New Roman" w:hAnsi="Times New Roman" w:cs="Times New Roman"/>
          <w:b w:val="0"/>
          <w:color w:val="auto"/>
          <w:sz w:val="24"/>
          <w:szCs w:val="24"/>
        </w:rPr>
        <w:t>quem</w:t>
      </w:r>
      <w:proofErr w:type="spellEnd"/>
      <w:r w:rsidR="00F77150">
        <w:rPr>
          <w:rFonts w:ascii="Times New Roman" w:hAnsi="Times New Roman" w:cs="Times New Roman"/>
          <w:b w:val="0"/>
          <w:color w:val="auto"/>
          <w:sz w:val="24"/>
          <w:szCs w:val="24"/>
        </w:rPr>
        <w:t xml:space="preserve"> </w:t>
      </w:r>
      <w:proofErr w:type="spellStart"/>
      <w:r w:rsidR="00F77150">
        <w:rPr>
          <w:rFonts w:ascii="Times New Roman" w:hAnsi="Times New Roman" w:cs="Times New Roman"/>
          <w:b w:val="0"/>
          <w:color w:val="auto"/>
          <w:sz w:val="24"/>
          <w:szCs w:val="24"/>
        </w:rPr>
        <w:t>vai</w:t>
      </w:r>
      <w:proofErr w:type="spellEnd"/>
      <w:r w:rsidR="00F77150">
        <w:rPr>
          <w:rFonts w:ascii="Times New Roman" w:hAnsi="Times New Roman" w:cs="Times New Roman"/>
          <w:b w:val="0"/>
          <w:color w:val="auto"/>
          <w:sz w:val="24"/>
          <w:szCs w:val="24"/>
        </w:rPr>
        <w:t xml:space="preserve"> </w:t>
      </w:r>
      <w:proofErr w:type="spellStart"/>
      <w:r w:rsidR="00F77150">
        <w:rPr>
          <w:rFonts w:ascii="Times New Roman" w:hAnsi="Times New Roman" w:cs="Times New Roman"/>
          <w:b w:val="0"/>
          <w:color w:val="auto"/>
          <w:sz w:val="24"/>
          <w:szCs w:val="24"/>
        </w:rPr>
        <w:t>levar</w:t>
      </w:r>
      <w:proofErr w:type="spellEnd"/>
      <w:r w:rsidR="00F77150">
        <w:rPr>
          <w:rFonts w:ascii="Times New Roman" w:hAnsi="Times New Roman" w:cs="Times New Roman"/>
          <w:b w:val="0"/>
          <w:color w:val="auto"/>
          <w:sz w:val="24"/>
          <w:szCs w:val="24"/>
        </w:rPr>
        <w:t xml:space="preserve"> a culpa?</w:t>
      </w:r>
      <w:r w:rsidRPr="000A58DA">
        <w:rPr>
          <w:rFonts w:ascii="Times New Roman" w:hAnsi="Times New Roman" w:cs="Times New Roman"/>
          <w:b w:val="0"/>
          <w:color w:val="auto"/>
          <w:sz w:val="24"/>
          <w:szCs w:val="24"/>
        </w:rPr>
        <w:t xml:space="preserve">” </w:t>
      </w:r>
      <w:r w:rsidRPr="000A58DA">
        <w:rPr>
          <w:rFonts w:ascii="Times New Roman" w:hAnsi="Times New Roman" w:cs="Times New Roman"/>
          <w:b w:val="0"/>
          <w:i/>
          <w:color w:val="auto"/>
          <w:sz w:val="24"/>
          <w:szCs w:val="24"/>
        </w:rPr>
        <w:t xml:space="preserve">Estado de São Paulo, </w:t>
      </w:r>
      <w:r w:rsidRPr="000A58DA">
        <w:rPr>
          <w:rFonts w:ascii="Times New Roman" w:hAnsi="Times New Roman" w:cs="Times New Roman"/>
          <w:b w:val="0"/>
          <w:color w:val="auto"/>
          <w:sz w:val="24"/>
          <w:szCs w:val="24"/>
        </w:rPr>
        <w:t>January 9.</w:t>
      </w:r>
    </w:p>
    <w:p w:rsidR="00151BCF" w:rsidRPr="000A58DA" w:rsidRDefault="00151BCF" w:rsidP="000F0D08">
      <w:pPr>
        <w:pStyle w:val="Heading2"/>
        <w:spacing w:before="0" w:line="480" w:lineRule="auto"/>
        <w:ind w:left="432" w:hanging="432"/>
        <w:rPr>
          <w:rFonts w:ascii="Times New Roman" w:hAnsi="Times New Roman" w:cs="Times New Roman"/>
          <w:b w:val="0"/>
          <w:color w:val="auto"/>
          <w:sz w:val="24"/>
          <w:szCs w:val="24"/>
        </w:rPr>
      </w:pPr>
      <w:r w:rsidRPr="000A58DA">
        <w:rPr>
          <w:rFonts w:ascii="Times New Roman" w:hAnsi="Times New Roman" w:cs="Times New Roman"/>
          <w:b w:val="0"/>
          <w:color w:val="auto"/>
          <w:sz w:val="24"/>
          <w:szCs w:val="24"/>
        </w:rPr>
        <w:t xml:space="preserve">Von </w:t>
      </w:r>
      <w:proofErr w:type="spellStart"/>
      <w:r w:rsidRPr="000A58DA">
        <w:rPr>
          <w:rFonts w:ascii="Times New Roman" w:hAnsi="Times New Roman" w:cs="Times New Roman"/>
          <w:b w:val="0"/>
          <w:color w:val="auto"/>
          <w:sz w:val="24"/>
          <w:szCs w:val="24"/>
        </w:rPr>
        <w:t>Mettenheim</w:t>
      </w:r>
      <w:proofErr w:type="spellEnd"/>
      <w:r w:rsidRPr="000A58DA">
        <w:rPr>
          <w:rFonts w:ascii="Times New Roman" w:hAnsi="Times New Roman" w:cs="Times New Roman"/>
          <w:b w:val="0"/>
          <w:color w:val="auto"/>
          <w:sz w:val="24"/>
          <w:szCs w:val="24"/>
        </w:rPr>
        <w:t xml:space="preserve">, K.E. 2010. </w:t>
      </w:r>
      <w:r w:rsidRPr="000A58DA">
        <w:rPr>
          <w:rFonts w:ascii="Times New Roman" w:hAnsi="Times New Roman" w:cs="Times New Roman"/>
          <w:b w:val="0"/>
          <w:i/>
          <w:color w:val="auto"/>
          <w:sz w:val="24"/>
          <w:szCs w:val="24"/>
        </w:rPr>
        <w:t xml:space="preserve">Federal Banking in Brazil: Policies and Competitive Advantages. </w:t>
      </w:r>
      <w:r w:rsidRPr="000A58DA">
        <w:rPr>
          <w:rFonts w:ascii="Times New Roman" w:hAnsi="Times New Roman" w:cs="Times New Roman"/>
          <w:b w:val="0"/>
          <w:color w:val="auto"/>
          <w:sz w:val="24"/>
          <w:szCs w:val="24"/>
        </w:rPr>
        <w:t xml:space="preserve">London: Pickering and </w:t>
      </w:r>
      <w:proofErr w:type="spellStart"/>
      <w:r w:rsidRPr="000A58DA">
        <w:rPr>
          <w:rFonts w:ascii="Times New Roman" w:hAnsi="Times New Roman" w:cs="Times New Roman"/>
          <w:b w:val="0"/>
          <w:color w:val="auto"/>
          <w:sz w:val="24"/>
          <w:szCs w:val="24"/>
        </w:rPr>
        <w:t>Chatto</w:t>
      </w:r>
      <w:proofErr w:type="spellEnd"/>
      <w:r w:rsidRPr="000A58DA">
        <w:rPr>
          <w:rFonts w:ascii="Times New Roman" w:hAnsi="Times New Roman" w:cs="Times New Roman"/>
          <w:b w:val="0"/>
          <w:color w:val="auto"/>
          <w:sz w:val="24"/>
          <w:szCs w:val="24"/>
        </w:rPr>
        <w:t>.</w:t>
      </w:r>
    </w:p>
    <w:p w:rsidR="00151BCF" w:rsidRPr="000A58DA" w:rsidRDefault="00151BCF" w:rsidP="000F0D08">
      <w:pPr>
        <w:pStyle w:val="Heading2"/>
        <w:spacing w:before="0" w:line="480" w:lineRule="auto"/>
        <w:ind w:left="432" w:hanging="432"/>
        <w:rPr>
          <w:rFonts w:ascii="Times New Roman" w:hAnsi="Times New Roman" w:cs="Times New Roman"/>
          <w:b w:val="0"/>
          <w:color w:val="auto"/>
          <w:sz w:val="24"/>
          <w:szCs w:val="24"/>
        </w:rPr>
      </w:pPr>
      <w:r w:rsidRPr="000A58DA">
        <w:rPr>
          <w:rFonts w:ascii="Times New Roman" w:hAnsi="Times New Roman" w:cs="Times New Roman"/>
          <w:b w:val="0"/>
          <w:color w:val="auto"/>
          <w:sz w:val="24"/>
          <w:szCs w:val="24"/>
        </w:rPr>
        <w:t xml:space="preserve">Wheatley, Jonathan. 2009. “Interview with Luciano </w:t>
      </w:r>
      <w:proofErr w:type="spellStart"/>
      <w:r w:rsidRPr="000A58DA">
        <w:rPr>
          <w:rFonts w:ascii="Times New Roman" w:hAnsi="Times New Roman" w:cs="Times New Roman"/>
          <w:b w:val="0"/>
          <w:color w:val="auto"/>
          <w:sz w:val="24"/>
          <w:szCs w:val="24"/>
        </w:rPr>
        <w:t>Coutinho</w:t>
      </w:r>
      <w:proofErr w:type="spellEnd"/>
      <w:r w:rsidRPr="000A58DA">
        <w:rPr>
          <w:rFonts w:ascii="Times New Roman" w:hAnsi="Times New Roman" w:cs="Times New Roman"/>
          <w:b w:val="0"/>
          <w:color w:val="auto"/>
          <w:sz w:val="24"/>
          <w:szCs w:val="24"/>
        </w:rPr>
        <w:t>, president of the development bank, the BND</w:t>
      </w:r>
      <w:r w:rsidR="00F77150">
        <w:rPr>
          <w:rFonts w:ascii="Times New Roman" w:hAnsi="Times New Roman" w:cs="Times New Roman"/>
          <w:b w:val="0"/>
          <w:color w:val="auto"/>
          <w:sz w:val="24"/>
          <w:szCs w:val="24"/>
        </w:rPr>
        <w:t>ES.</w:t>
      </w:r>
      <w:r w:rsidRPr="000A58DA">
        <w:rPr>
          <w:rFonts w:ascii="Times New Roman" w:hAnsi="Times New Roman" w:cs="Times New Roman"/>
          <w:b w:val="0"/>
          <w:color w:val="auto"/>
          <w:sz w:val="24"/>
          <w:szCs w:val="24"/>
        </w:rPr>
        <w:t xml:space="preserve">” Special Report on Brazil, </w:t>
      </w:r>
      <w:r w:rsidRPr="000A58DA">
        <w:rPr>
          <w:rFonts w:ascii="Times New Roman" w:hAnsi="Times New Roman" w:cs="Times New Roman"/>
          <w:b w:val="0"/>
          <w:i/>
          <w:color w:val="auto"/>
          <w:sz w:val="24"/>
          <w:szCs w:val="24"/>
        </w:rPr>
        <w:t xml:space="preserve">Financial Times, </w:t>
      </w:r>
      <w:r w:rsidRPr="000A58DA">
        <w:rPr>
          <w:rFonts w:ascii="Times New Roman" w:hAnsi="Times New Roman" w:cs="Times New Roman"/>
          <w:b w:val="0"/>
          <w:color w:val="auto"/>
          <w:sz w:val="24"/>
          <w:szCs w:val="24"/>
        </w:rPr>
        <w:t>November 4.</w:t>
      </w:r>
    </w:p>
    <w:p w:rsidR="00151BCF" w:rsidRPr="00BB272C" w:rsidRDefault="00151BCF" w:rsidP="000F0D08">
      <w:pPr>
        <w:tabs>
          <w:tab w:val="left" w:pos="1800"/>
        </w:tabs>
        <w:spacing w:line="480" w:lineRule="auto"/>
        <w:ind w:left="432" w:hanging="432"/>
        <w:rPr>
          <w:rFonts w:cs="Times New Roman"/>
          <w:szCs w:val="24"/>
        </w:rPr>
      </w:pPr>
      <w:r w:rsidRPr="00BB272C">
        <w:rPr>
          <w:rFonts w:cs="Times New Roman"/>
          <w:bCs/>
          <w:szCs w:val="24"/>
        </w:rPr>
        <w:t xml:space="preserve">Willis, Eliza Jane. 2013. </w:t>
      </w:r>
      <w:r w:rsidRPr="00BB272C">
        <w:rPr>
          <w:rFonts w:cs="Times New Roman"/>
        </w:rPr>
        <w:t>“</w:t>
      </w:r>
      <w:r w:rsidRPr="00BB272C">
        <w:rPr>
          <w:rFonts w:cs="Times New Roman"/>
          <w:color w:val="262626"/>
        </w:rPr>
        <w:t>A historical case study of a Pocket of Effectiveness: Brazil’s National Economic Development Bank (BNDE)</w:t>
      </w:r>
      <w:r>
        <w:rPr>
          <w:rFonts w:cs="Times New Roman"/>
          <w:color w:val="262626"/>
        </w:rPr>
        <w:t>.” I</w:t>
      </w:r>
      <w:r w:rsidRPr="00BB272C">
        <w:rPr>
          <w:rFonts w:cs="Times New Roman"/>
          <w:color w:val="262626"/>
        </w:rPr>
        <w:t>n</w:t>
      </w:r>
      <w:r w:rsidRPr="00BB272C">
        <w:rPr>
          <w:rFonts w:cs="Times New Roman"/>
        </w:rPr>
        <w:t xml:space="preserve"> </w:t>
      </w:r>
      <w:r>
        <w:rPr>
          <w:rFonts w:cs="Times New Roman"/>
        </w:rPr>
        <w:t xml:space="preserve">Michael Roll, ed. </w:t>
      </w:r>
      <w:r w:rsidRPr="00BB272C">
        <w:rPr>
          <w:rFonts w:cs="Times New Roman"/>
          <w:i/>
        </w:rPr>
        <w:t>State Performance and Reform in Developing Countries: Pockets of Effectiveness</w:t>
      </w:r>
      <w:r>
        <w:rPr>
          <w:rFonts w:cs="Times New Roman"/>
          <w:i/>
        </w:rPr>
        <w:t xml:space="preserve">. </w:t>
      </w:r>
      <w:r>
        <w:rPr>
          <w:rFonts w:cs="Times New Roman"/>
        </w:rPr>
        <w:t xml:space="preserve">New York: </w:t>
      </w:r>
      <w:proofErr w:type="spellStart"/>
      <w:r>
        <w:rPr>
          <w:rFonts w:cs="Times New Roman"/>
        </w:rPr>
        <w:t>Routledge</w:t>
      </w:r>
      <w:proofErr w:type="spellEnd"/>
      <w:r>
        <w:rPr>
          <w:rFonts w:cs="Times New Roman"/>
        </w:rPr>
        <w:t>.</w:t>
      </w:r>
    </w:p>
    <w:p w:rsidR="00151BCF" w:rsidRPr="000A58DA" w:rsidRDefault="00151BCF" w:rsidP="000F0D08">
      <w:pPr>
        <w:spacing w:line="480" w:lineRule="auto"/>
        <w:ind w:left="432" w:hanging="432"/>
        <w:rPr>
          <w:rFonts w:cs="Times New Roman"/>
          <w:szCs w:val="24"/>
        </w:rPr>
      </w:pPr>
      <w:proofErr w:type="spellStart"/>
      <w:r w:rsidRPr="000A58DA">
        <w:rPr>
          <w:rFonts w:cs="Times New Roman"/>
          <w:szCs w:val="24"/>
        </w:rPr>
        <w:t>Zanetta</w:t>
      </w:r>
      <w:proofErr w:type="spellEnd"/>
      <w:r w:rsidRPr="000A58DA">
        <w:rPr>
          <w:rFonts w:cs="Times New Roman"/>
          <w:szCs w:val="24"/>
        </w:rPr>
        <w:t xml:space="preserve">, Rafael A.F. 2012. “The Risk of the New </w:t>
      </w:r>
      <w:proofErr w:type="spellStart"/>
      <w:r w:rsidRPr="000A58DA">
        <w:rPr>
          <w:rFonts w:cs="Times New Roman"/>
          <w:szCs w:val="24"/>
        </w:rPr>
        <w:t>Developmentalism</w:t>
      </w:r>
      <w:proofErr w:type="spellEnd"/>
      <w:r w:rsidRPr="000A58DA">
        <w:rPr>
          <w:rFonts w:cs="Times New Roman"/>
          <w:szCs w:val="24"/>
        </w:rPr>
        <w:t>: ‘</w:t>
      </w:r>
      <w:proofErr w:type="spellStart"/>
      <w:r w:rsidRPr="000A58DA">
        <w:rPr>
          <w:rFonts w:cs="Times New Roman"/>
          <w:szCs w:val="24"/>
        </w:rPr>
        <w:t>Brasil</w:t>
      </w:r>
      <w:proofErr w:type="spellEnd"/>
      <w:r w:rsidRPr="000A58DA">
        <w:rPr>
          <w:rFonts w:cs="Times New Roman"/>
          <w:szCs w:val="24"/>
        </w:rPr>
        <w:t xml:space="preserve"> </w:t>
      </w:r>
      <w:proofErr w:type="spellStart"/>
      <w:r w:rsidRPr="000A58DA">
        <w:rPr>
          <w:rFonts w:cs="Times New Roman"/>
          <w:szCs w:val="24"/>
        </w:rPr>
        <w:t>Maior</w:t>
      </w:r>
      <w:proofErr w:type="spellEnd"/>
      <w:r w:rsidRPr="000A58DA">
        <w:rPr>
          <w:rFonts w:cs="Times New Roman"/>
          <w:szCs w:val="24"/>
        </w:rPr>
        <w:t xml:space="preserve">’ Plan and Bureaucratic Rings.” Working paper, available at: </w:t>
      </w:r>
      <w:hyperlink r:id="rId19" w:tgtFrame="_blank" w:history="1">
        <w:r w:rsidRPr="000A58DA">
          <w:rPr>
            <w:rStyle w:val="Hyperlink"/>
            <w:rFonts w:cs="Times New Roman"/>
            <w:color w:val="auto"/>
            <w:szCs w:val="24"/>
          </w:rPr>
          <w:t>http://papers.ssrn.com/sol3/papers.cfm?abstract_id=2120002</w:t>
        </w:r>
      </w:hyperlink>
    </w:p>
    <w:p w:rsidR="00151BCF" w:rsidRPr="000A58DA" w:rsidRDefault="00151BCF" w:rsidP="000F0D08">
      <w:pPr>
        <w:autoSpaceDE w:val="0"/>
        <w:autoSpaceDN w:val="0"/>
        <w:adjustRightInd w:val="0"/>
        <w:spacing w:line="480" w:lineRule="auto"/>
        <w:ind w:left="432" w:hanging="432"/>
        <w:rPr>
          <w:rFonts w:cs="Times New Roman"/>
          <w:szCs w:val="24"/>
        </w:rPr>
      </w:pPr>
      <w:proofErr w:type="spellStart"/>
      <w:r w:rsidRPr="000A58DA">
        <w:rPr>
          <w:rFonts w:cs="Times New Roman"/>
          <w:bCs/>
          <w:szCs w:val="24"/>
        </w:rPr>
        <w:t>Zibechi</w:t>
      </w:r>
      <w:proofErr w:type="spellEnd"/>
      <w:r w:rsidRPr="000A58DA">
        <w:rPr>
          <w:rFonts w:cs="Times New Roman"/>
          <w:bCs/>
          <w:szCs w:val="24"/>
        </w:rPr>
        <w:t xml:space="preserve">, </w:t>
      </w:r>
      <w:proofErr w:type="spellStart"/>
      <w:r w:rsidRPr="000A58DA">
        <w:rPr>
          <w:rFonts w:cs="Times New Roman"/>
          <w:bCs/>
          <w:szCs w:val="24"/>
        </w:rPr>
        <w:t>Raúl</w:t>
      </w:r>
      <w:proofErr w:type="spellEnd"/>
      <w:r w:rsidRPr="000A58DA">
        <w:rPr>
          <w:rFonts w:cs="Times New Roman"/>
          <w:bCs/>
          <w:szCs w:val="24"/>
        </w:rPr>
        <w:t xml:space="preserve">. 2012. </w:t>
      </w:r>
      <w:proofErr w:type="spellStart"/>
      <w:r w:rsidRPr="000A58DA">
        <w:rPr>
          <w:rFonts w:cs="Times New Roman"/>
          <w:bCs/>
          <w:i/>
          <w:szCs w:val="24"/>
        </w:rPr>
        <w:t>Brasil</w:t>
      </w:r>
      <w:proofErr w:type="spellEnd"/>
      <w:r w:rsidRPr="000A58DA">
        <w:rPr>
          <w:rFonts w:cs="Times New Roman"/>
          <w:bCs/>
          <w:i/>
          <w:szCs w:val="24"/>
        </w:rPr>
        <w:t xml:space="preserve"> </w:t>
      </w:r>
      <w:proofErr w:type="spellStart"/>
      <w:r w:rsidRPr="000A58DA">
        <w:rPr>
          <w:rFonts w:cs="Times New Roman"/>
          <w:bCs/>
          <w:i/>
          <w:szCs w:val="24"/>
        </w:rPr>
        <w:t>potencia</w:t>
      </w:r>
      <w:proofErr w:type="spellEnd"/>
      <w:r w:rsidRPr="000A58DA">
        <w:rPr>
          <w:rFonts w:cs="Times New Roman"/>
          <w:bCs/>
          <w:i/>
          <w:szCs w:val="24"/>
        </w:rPr>
        <w:t xml:space="preserve">. Entre la </w:t>
      </w:r>
      <w:proofErr w:type="spellStart"/>
      <w:r w:rsidRPr="000A58DA">
        <w:rPr>
          <w:rFonts w:cs="Times New Roman"/>
          <w:bCs/>
          <w:i/>
          <w:szCs w:val="24"/>
        </w:rPr>
        <w:t>integración</w:t>
      </w:r>
      <w:proofErr w:type="spellEnd"/>
      <w:r w:rsidRPr="000A58DA">
        <w:rPr>
          <w:rFonts w:cs="Times New Roman"/>
          <w:bCs/>
          <w:i/>
          <w:szCs w:val="24"/>
        </w:rPr>
        <w:t xml:space="preserve"> regional y un </w:t>
      </w:r>
      <w:proofErr w:type="spellStart"/>
      <w:r w:rsidRPr="000A58DA">
        <w:rPr>
          <w:rFonts w:cs="Times New Roman"/>
          <w:bCs/>
          <w:i/>
          <w:szCs w:val="24"/>
        </w:rPr>
        <w:t>nuevo</w:t>
      </w:r>
      <w:proofErr w:type="spellEnd"/>
      <w:r w:rsidRPr="000A58DA">
        <w:rPr>
          <w:rFonts w:cs="Times New Roman"/>
          <w:bCs/>
          <w:i/>
          <w:szCs w:val="24"/>
        </w:rPr>
        <w:t xml:space="preserve"> imperialism. </w:t>
      </w:r>
      <w:r w:rsidRPr="000A58DA">
        <w:rPr>
          <w:rFonts w:cs="Times New Roman"/>
          <w:bCs/>
          <w:szCs w:val="24"/>
        </w:rPr>
        <w:t xml:space="preserve">Bogotá: </w:t>
      </w:r>
      <w:proofErr w:type="spellStart"/>
      <w:r w:rsidRPr="000A58DA">
        <w:rPr>
          <w:rFonts w:cs="Times New Roman"/>
          <w:bCs/>
          <w:szCs w:val="24"/>
        </w:rPr>
        <w:t>Ediciones</w:t>
      </w:r>
      <w:proofErr w:type="spellEnd"/>
      <w:r w:rsidRPr="000A58DA">
        <w:rPr>
          <w:rFonts w:cs="Times New Roman"/>
          <w:bCs/>
          <w:szCs w:val="24"/>
        </w:rPr>
        <w:t xml:space="preserve"> </w:t>
      </w:r>
      <w:proofErr w:type="spellStart"/>
      <w:r w:rsidRPr="000A58DA">
        <w:rPr>
          <w:rFonts w:cs="Times New Roman"/>
          <w:bCs/>
          <w:szCs w:val="24"/>
        </w:rPr>
        <w:t>desde</w:t>
      </w:r>
      <w:proofErr w:type="spellEnd"/>
      <w:r w:rsidRPr="000A58DA">
        <w:rPr>
          <w:rFonts w:cs="Times New Roman"/>
          <w:bCs/>
          <w:szCs w:val="24"/>
        </w:rPr>
        <w:t xml:space="preserve"> </w:t>
      </w:r>
      <w:proofErr w:type="spellStart"/>
      <w:r w:rsidRPr="000A58DA">
        <w:rPr>
          <w:rFonts w:cs="Times New Roman"/>
          <w:bCs/>
          <w:szCs w:val="24"/>
        </w:rPr>
        <w:t>abajo</w:t>
      </w:r>
      <w:proofErr w:type="spellEnd"/>
      <w:r w:rsidRPr="000A58DA">
        <w:rPr>
          <w:rFonts w:cs="Times New Roman"/>
          <w:bCs/>
          <w:szCs w:val="24"/>
        </w:rPr>
        <w:t>.</w:t>
      </w:r>
    </w:p>
    <w:p w:rsidR="00151BCF" w:rsidRDefault="00151BCF" w:rsidP="00081943"/>
    <w:p w:rsidR="00151BCF" w:rsidRDefault="00151BCF" w:rsidP="00081943">
      <w:pPr>
        <w:rPr>
          <w:rFonts w:cs="Times New Roman"/>
          <w:szCs w:val="24"/>
        </w:rPr>
      </w:pPr>
      <w:r>
        <w:rPr>
          <w:rFonts w:cs="Times New Roman"/>
          <w:szCs w:val="24"/>
        </w:rPr>
        <w:br w:type="page"/>
      </w:r>
    </w:p>
    <w:p w:rsidR="00B40CD5" w:rsidRDefault="00B40CD5" w:rsidP="00081943">
      <w:pPr>
        <w:rPr>
          <w:rFonts w:cs="Times New Roman"/>
          <w:szCs w:val="24"/>
        </w:rPr>
      </w:pPr>
    </w:p>
    <w:p w:rsidR="00B40CD5" w:rsidRPr="00B40CD5" w:rsidRDefault="00B40CD5" w:rsidP="00081943">
      <w:pPr>
        <w:rPr>
          <w:rFonts w:cs="Times New Roman"/>
          <w:b/>
          <w:szCs w:val="24"/>
        </w:rPr>
      </w:pPr>
      <w:r>
        <w:rPr>
          <w:rFonts w:cs="Times New Roman"/>
          <w:b/>
          <w:szCs w:val="24"/>
        </w:rPr>
        <w:t>Tables and Figures</w:t>
      </w:r>
    </w:p>
    <w:p w:rsidR="0001623A" w:rsidRPr="000A58DA" w:rsidRDefault="0001623A" w:rsidP="00081943">
      <w:pPr>
        <w:rPr>
          <w:rFonts w:cs="Times New Roman"/>
          <w:szCs w:val="24"/>
        </w:rPr>
      </w:pPr>
    </w:p>
    <w:p w:rsidR="0001623A" w:rsidRPr="000A58DA" w:rsidRDefault="0001623A" w:rsidP="00081943">
      <w:pPr>
        <w:rPr>
          <w:rFonts w:cs="Times New Roman"/>
          <w:szCs w:val="24"/>
        </w:rPr>
      </w:pPr>
    </w:p>
    <w:p w:rsidR="0001623A" w:rsidRPr="000A58DA" w:rsidRDefault="0001623A" w:rsidP="00081943">
      <w:pPr>
        <w:rPr>
          <w:rFonts w:cs="Times New Roman"/>
          <w:szCs w:val="24"/>
        </w:rPr>
      </w:pPr>
    </w:p>
    <w:p w:rsidR="0001623A" w:rsidRPr="000A58DA" w:rsidRDefault="0001623A" w:rsidP="00081943">
      <w:pPr>
        <w:rPr>
          <w:rFonts w:cs="Times New Roman"/>
          <w:szCs w:val="24"/>
        </w:rPr>
      </w:pPr>
      <w:r w:rsidRPr="000A58DA">
        <w:rPr>
          <w:rFonts w:cs="Times New Roman"/>
          <w:szCs w:val="24"/>
        </w:rPr>
        <w:t>Figure 1. BNDES, Evolution of annual loan disbursements (1999-2012)</w:t>
      </w:r>
    </w:p>
    <w:p w:rsidR="0001623A" w:rsidRPr="000A58DA" w:rsidRDefault="0001623A" w:rsidP="00081943">
      <w:pPr>
        <w:rPr>
          <w:rFonts w:cs="Times New Roman"/>
          <w:szCs w:val="24"/>
        </w:rPr>
      </w:pPr>
      <w:r w:rsidRPr="000A58DA">
        <w:rPr>
          <w:rFonts w:cs="Times New Roman"/>
          <w:szCs w:val="24"/>
        </w:rPr>
        <w:t>R$ billions</w:t>
      </w:r>
    </w:p>
    <w:p w:rsidR="0001623A" w:rsidRPr="000A58DA" w:rsidRDefault="0001623A" w:rsidP="00081943">
      <w:pPr>
        <w:rPr>
          <w:rFonts w:cs="Times New Roman"/>
          <w:szCs w:val="24"/>
        </w:rPr>
      </w:pPr>
    </w:p>
    <w:p w:rsidR="0001623A" w:rsidRPr="000A58DA" w:rsidRDefault="0001623A" w:rsidP="00081943">
      <w:pPr>
        <w:rPr>
          <w:rFonts w:cs="Times New Roman"/>
          <w:szCs w:val="24"/>
        </w:rPr>
      </w:pPr>
    </w:p>
    <w:p w:rsidR="0001623A" w:rsidRPr="000A58DA" w:rsidRDefault="0001623A" w:rsidP="00081943">
      <w:pPr>
        <w:rPr>
          <w:rFonts w:cs="Times New Roman"/>
          <w:szCs w:val="24"/>
        </w:rPr>
      </w:pPr>
      <w:r w:rsidRPr="000A58DA">
        <w:rPr>
          <w:rFonts w:cs="Times New Roman"/>
          <w:noProof/>
          <w:szCs w:val="24"/>
        </w:rPr>
        <w:drawing>
          <wp:inline distT="0" distB="0" distL="0" distR="0" wp14:anchorId="735F1F0C" wp14:editId="23370EBD">
            <wp:extent cx="5943600" cy="294132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941320"/>
                    </a:xfrm>
                    <a:prstGeom prst="rect">
                      <a:avLst/>
                    </a:prstGeom>
                    <a:noFill/>
                    <a:ln>
                      <a:noFill/>
                    </a:ln>
                    <a:extLst/>
                  </pic:spPr>
                </pic:pic>
              </a:graphicData>
            </a:graphic>
          </wp:inline>
        </w:drawing>
      </w:r>
    </w:p>
    <w:p w:rsidR="0001623A" w:rsidRPr="000A58DA" w:rsidRDefault="0001623A" w:rsidP="00081943">
      <w:pPr>
        <w:rPr>
          <w:rFonts w:cs="Times New Roman"/>
          <w:szCs w:val="24"/>
        </w:rPr>
      </w:pPr>
    </w:p>
    <w:p w:rsidR="0001623A" w:rsidRPr="000A58DA" w:rsidRDefault="0001623A" w:rsidP="00081943">
      <w:pPr>
        <w:rPr>
          <w:rFonts w:cs="Times New Roman"/>
          <w:szCs w:val="24"/>
        </w:rPr>
      </w:pPr>
      <w:r w:rsidRPr="000A58DA">
        <w:rPr>
          <w:rFonts w:cs="Times New Roman"/>
          <w:szCs w:val="24"/>
        </w:rPr>
        <w:t xml:space="preserve">Source: </w:t>
      </w:r>
      <w:hyperlink r:id="rId21" w:history="1">
        <w:r w:rsidRPr="000A58DA">
          <w:rPr>
            <w:rStyle w:val="Hyperlink"/>
            <w:rFonts w:cs="Times New Roman"/>
            <w:szCs w:val="24"/>
          </w:rPr>
          <w:t>http://www.bndes.gov.br/SiteBNDES/bndes/bndes_pt/Institucional/Relacao_Com_Investidores/Desempenho/</w:t>
        </w:r>
      </w:hyperlink>
    </w:p>
    <w:p w:rsidR="0001623A" w:rsidRPr="000A58DA" w:rsidRDefault="0001623A" w:rsidP="00081943">
      <w:pPr>
        <w:rPr>
          <w:rFonts w:cs="Times New Roman"/>
          <w:szCs w:val="24"/>
        </w:rPr>
      </w:pPr>
    </w:p>
    <w:p w:rsidR="0001623A" w:rsidRPr="000A58DA" w:rsidRDefault="0001623A" w:rsidP="00081943">
      <w:pPr>
        <w:rPr>
          <w:rFonts w:cs="Times New Roman"/>
          <w:szCs w:val="24"/>
        </w:rPr>
      </w:pPr>
    </w:p>
    <w:p w:rsidR="0001623A" w:rsidRPr="000A58DA" w:rsidRDefault="0001623A" w:rsidP="00081943">
      <w:pPr>
        <w:rPr>
          <w:rFonts w:cs="Times New Roman"/>
          <w:szCs w:val="24"/>
        </w:rPr>
      </w:pPr>
    </w:p>
    <w:p w:rsidR="0001623A" w:rsidRPr="000A58DA" w:rsidRDefault="0001623A" w:rsidP="00081943">
      <w:pPr>
        <w:rPr>
          <w:rFonts w:cs="Times New Roman"/>
          <w:szCs w:val="24"/>
        </w:rPr>
      </w:pPr>
    </w:p>
    <w:p w:rsidR="0001623A" w:rsidRPr="000A58DA" w:rsidRDefault="0001623A" w:rsidP="00081943">
      <w:pPr>
        <w:rPr>
          <w:rFonts w:cs="Times New Roman"/>
          <w:szCs w:val="24"/>
        </w:rPr>
      </w:pPr>
    </w:p>
    <w:p w:rsidR="0001623A" w:rsidRPr="000A58DA" w:rsidRDefault="0001623A" w:rsidP="00081943">
      <w:pPr>
        <w:rPr>
          <w:rFonts w:cs="Times New Roman"/>
          <w:szCs w:val="24"/>
        </w:rPr>
      </w:pPr>
      <w:r w:rsidRPr="000A58DA">
        <w:rPr>
          <w:rFonts w:cs="Times New Roman"/>
          <w:szCs w:val="24"/>
        </w:rPr>
        <w:t>Table 1. BNDES, Comparison with other large development banks (2010)</w:t>
      </w:r>
    </w:p>
    <w:p w:rsidR="0001623A" w:rsidRPr="000A58DA" w:rsidRDefault="0001623A" w:rsidP="00081943">
      <w:pPr>
        <w:rPr>
          <w:rFonts w:cs="Times New Roman"/>
          <w:szCs w:val="24"/>
        </w:rPr>
      </w:pPr>
      <w:r w:rsidRPr="000A58DA">
        <w:rPr>
          <w:rFonts w:cs="Times New Roman"/>
          <w:szCs w:val="24"/>
        </w:rPr>
        <w:t>US$ billions</w:t>
      </w:r>
    </w:p>
    <w:p w:rsidR="0001623A" w:rsidRPr="000A58DA" w:rsidRDefault="0001623A" w:rsidP="00081943">
      <w:pPr>
        <w:rPr>
          <w:rFonts w:cs="Times New Roman"/>
          <w:szCs w:val="24"/>
        </w:rPr>
      </w:pPr>
    </w:p>
    <w:tbl>
      <w:tblPr>
        <w:tblStyle w:val="TableGrid"/>
        <w:tblW w:w="0" w:type="auto"/>
        <w:tblLook w:val="04A0" w:firstRow="1" w:lastRow="0" w:firstColumn="1" w:lastColumn="0" w:noHBand="0" w:noVBand="1"/>
      </w:tblPr>
      <w:tblGrid>
        <w:gridCol w:w="2268"/>
        <w:gridCol w:w="1710"/>
        <w:gridCol w:w="1890"/>
        <w:gridCol w:w="1890"/>
        <w:gridCol w:w="1818"/>
      </w:tblGrid>
      <w:tr w:rsidR="0001623A" w:rsidRPr="000A58DA" w:rsidTr="005F0BF3">
        <w:tc>
          <w:tcPr>
            <w:tcW w:w="2268" w:type="dxa"/>
          </w:tcPr>
          <w:p w:rsidR="0001623A" w:rsidRPr="000A58DA" w:rsidRDefault="0001623A" w:rsidP="00081943">
            <w:pPr>
              <w:jc w:val="right"/>
              <w:rPr>
                <w:rFonts w:cs="Times New Roman"/>
                <w:szCs w:val="24"/>
              </w:rPr>
            </w:pPr>
          </w:p>
        </w:tc>
        <w:tc>
          <w:tcPr>
            <w:tcW w:w="1710" w:type="dxa"/>
          </w:tcPr>
          <w:p w:rsidR="0001623A" w:rsidRPr="000A58DA" w:rsidRDefault="0001623A" w:rsidP="00081943">
            <w:pPr>
              <w:jc w:val="center"/>
              <w:rPr>
                <w:rFonts w:cs="Times New Roman"/>
                <w:szCs w:val="24"/>
              </w:rPr>
            </w:pPr>
            <w:r w:rsidRPr="000A58DA">
              <w:rPr>
                <w:rFonts w:cs="Times New Roman"/>
                <w:szCs w:val="24"/>
              </w:rPr>
              <w:t>BNDES</w:t>
            </w:r>
          </w:p>
        </w:tc>
        <w:tc>
          <w:tcPr>
            <w:tcW w:w="1890" w:type="dxa"/>
          </w:tcPr>
          <w:p w:rsidR="0001623A" w:rsidRPr="000A58DA" w:rsidRDefault="0001623A" w:rsidP="00081943">
            <w:pPr>
              <w:jc w:val="center"/>
              <w:rPr>
                <w:rFonts w:cs="Times New Roman"/>
                <w:szCs w:val="24"/>
              </w:rPr>
            </w:pPr>
            <w:r w:rsidRPr="000A58DA">
              <w:rPr>
                <w:rFonts w:cs="Times New Roman"/>
                <w:szCs w:val="24"/>
              </w:rPr>
              <w:t>IADB</w:t>
            </w:r>
          </w:p>
        </w:tc>
        <w:tc>
          <w:tcPr>
            <w:tcW w:w="1890" w:type="dxa"/>
          </w:tcPr>
          <w:p w:rsidR="0001623A" w:rsidRPr="000A58DA" w:rsidRDefault="0001623A" w:rsidP="00081943">
            <w:pPr>
              <w:jc w:val="center"/>
              <w:rPr>
                <w:rFonts w:cs="Times New Roman"/>
                <w:szCs w:val="24"/>
              </w:rPr>
            </w:pPr>
            <w:r w:rsidRPr="000A58DA">
              <w:rPr>
                <w:rFonts w:cs="Times New Roman"/>
                <w:szCs w:val="24"/>
              </w:rPr>
              <w:t>World Bank</w:t>
            </w:r>
          </w:p>
        </w:tc>
        <w:tc>
          <w:tcPr>
            <w:tcW w:w="1818" w:type="dxa"/>
          </w:tcPr>
          <w:p w:rsidR="0001623A" w:rsidRPr="000A58DA" w:rsidRDefault="0001623A" w:rsidP="00081943">
            <w:pPr>
              <w:jc w:val="center"/>
              <w:rPr>
                <w:rFonts w:cs="Times New Roman"/>
                <w:szCs w:val="24"/>
              </w:rPr>
            </w:pPr>
            <w:r w:rsidRPr="000A58DA">
              <w:rPr>
                <w:rFonts w:cs="Times New Roman"/>
                <w:szCs w:val="24"/>
              </w:rPr>
              <w:t>China DB</w:t>
            </w:r>
          </w:p>
        </w:tc>
      </w:tr>
      <w:tr w:rsidR="0001623A" w:rsidRPr="000A58DA" w:rsidTr="005F0BF3">
        <w:tc>
          <w:tcPr>
            <w:tcW w:w="2268" w:type="dxa"/>
          </w:tcPr>
          <w:p w:rsidR="0001623A" w:rsidRPr="000A58DA" w:rsidRDefault="0001623A" w:rsidP="00081943">
            <w:pPr>
              <w:jc w:val="right"/>
              <w:rPr>
                <w:rFonts w:cs="Times New Roman"/>
                <w:szCs w:val="24"/>
              </w:rPr>
            </w:pPr>
            <w:r w:rsidRPr="000A58DA">
              <w:rPr>
                <w:rFonts w:cs="Times New Roman"/>
                <w:szCs w:val="24"/>
              </w:rPr>
              <w:t>Total Assets</w:t>
            </w:r>
          </w:p>
        </w:tc>
        <w:tc>
          <w:tcPr>
            <w:tcW w:w="1710" w:type="dxa"/>
          </w:tcPr>
          <w:p w:rsidR="0001623A" w:rsidRPr="000A58DA" w:rsidRDefault="0001623A" w:rsidP="00081943">
            <w:pPr>
              <w:jc w:val="center"/>
              <w:rPr>
                <w:rFonts w:cs="Times New Roman"/>
                <w:szCs w:val="24"/>
              </w:rPr>
            </w:pPr>
            <w:r w:rsidRPr="000A58DA">
              <w:rPr>
                <w:rFonts w:cs="Times New Roman"/>
                <w:szCs w:val="24"/>
              </w:rPr>
              <w:t>329.5</w:t>
            </w:r>
          </w:p>
        </w:tc>
        <w:tc>
          <w:tcPr>
            <w:tcW w:w="1890" w:type="dxa"/>
          </w:tcPr>
          <w:p w:rsidR="0001623A" w:rsidRPr="000A58DA" w:rsidRDefault="0001623A" w:rsidP="00081943">
            <w:pPr>
              <w:jc w:val="center"/>
              <w:rPr>
                <w:rFonts w:cs="Times New Roman"/>
                <w:szCs w:val="24"/>
              </w:rPr>
            </w:pPr>
            <w:r w:rsidRPr="000A58DA">
              <w:rPr>
                <w:rFonts w:cs="Times New Roman"/>
                <w:szCs w:val="24"/>
              </w:rPr>
              <w:t>87.2</w:t>
            </w:r>
          </w:p>
        </w:tc>
        <w:tc>
          <w:tcPr>
            <w:tcW w:w="1890" w:type="dxa"/>
          </w:tcPr>
          <w:p w:rsidR="0001623A" w:rsidRPr="000A58DA" w:rsidRDefault="0001623A" w:rsidP="00081943">
            <w:pPr>
              <w:jc w:val="center"/>
              <w:rPr>
                <w:rFonts w:cs="Times New Roman"/>
                <w:szCs w:val="24"/>
              </w:rPr>
            </w:pPr>
            <w:r w:rsidRPr="000A58DA">
              <w:rPr>
                <w:rFonts w:cs="Times New Roman"/>
                <w:szCs w:val="24"/>
              </w:rPr>
              <w:t>282.8</w:t>
            </w:r>
          </w:p>
        </w:tc>
        <w:tc>
          <w:tcPr>
            <w:tcW w:w="1818" w:type="dxa"/>
          </w:tcPr>
          <w:p w:rsidR="0001623A" w:rsidRPr="000A58DA" w:rsidRDefault="0001623A" w:rsidP="00081943">
            <w:pPr>
              <w:jc w:val="center"/>
              <w:rPr>
                <w:rFonts w:cs="Times New Roman"/>
                <w:szCs w:val="24"/>
              </w:rPr>
            </w:pPr>
            <w:r w:rsidRPr="000A58DA">
              <w:rPr>
                <w:rFonts w:cs="Times New Roman"/>
                <w:szCs w:val="24"/>
              </w:rPr>
              <w:t>774.2</w:t>
            </w:r>
          </w:p>
        </w:tc>
      </w:tr>
      <w:tr w:rsidR="0001623A" w:rsidRPr="000A58DA" w:rsidTr="005F0BF3">
        <w:tc>
          <w:tcPr>
            <w:tcW w:w="2268" w:type="dxa"/>
          </w:tcPr>
          <w:p w:rsidR="0001623A" w:rsidRPr="000A58DA" w:rsidRDefault="0001623A" w:rsidP="00081943">
            <w:pPr>
              <w:jc w:val="right"/>
              <w:rPr>
                <w:rFonts w:cs="Times New Roman"/>
                <w:szCs w:val="24"/>
              </w:rPr>
            </w:pPr>
            <w:r w:rsidRPr="000A58DA">
              <w:rPr>
                <w:rFonts w:cs="Times New Roman"/>
                <w:szCs w:val="24"/>
              </w:rPr>
              <w:t>Loan Assets</w:t>
            </w:r>
          </w:p>
        </w:tc>
        <w:tc>
          <w:tcPr>
            <w:tcW w:w="1710" w:type="dxa"/>
          </w:tcPr>
          <w:p w:rsidR="0001623A" w:rsidRPr="000A58DA" w:rsidRDefault="0001623A" w:rsidP="00081943">
            <w:pPr>
              <w:jc w:val="center"/>
              <w:rPr>
                <w:rFonts w:cs="Times New Roman"/>
                <w:szCs w:val="24"/>
              </w:rPr>
            </w:pPr>
            <w:r w:rsidRPr="000A58DA">
              <w:rPr>
                <w:rFonts w:cs="Times New Roman"/>
                <w:szCs w:val="24"/>
              </w:rPr>
              <w:t>217.0</w:t>
            </w:r>
          </w:p>
        </w:tc>
        <w:tc>
          <w:tcPr>
            <w:tcW w:w="1890" w:type="dxa"/>
          </w:tcPr>
          <w:p w:rsidR="0001623A" w:rsidRPr="000A58DA" w:rsidRDefault="0001623A" w:rsidP="00081943">
            <w:pPr>
              <w:jc w:val="center"/>
              <w:rPr>
                <w:rFonts w:cs="Times New Roman"/>
                <w:szCs w:val="24"/>
              </w:rPr>
            </w:pPr>
            <w:r w:rsidRPr="000A58DA">
              <w:rPr>
                <w:rFonts w:cs="Times New Roman"/>
                <w:szCs w:val="24"/>
              </w:rPr>
              <w:t>63.0</w:t>
            </w:r>
          </w:p>
        </w:tc>
        <w:tc>
          <w:tcPr>
            <w:tcW w:w="1890" w:type="dxa"/>
          </w:tcPr>
          <w:p w:rsidR="0001623A" w:rsidRPr="000A58DA" w:rsidRDefault="0001623A" w:rsidP="00081943">
            <w:pPr>
              <w:jc w:val="center"/>
              <w:rPr>
                <w:rFonts w:cs="Times New Roman"/>
                <w:szCs w:val="24"/>
              </w:rPr>
            </w:pPr>
            <w:r w:rsidRPr="000A58DA">
              <w:rPr>
                <w:rFonts w:cs="Times New Roman"/>
                <w:szCs w:val="24"/>
              </w:rPr>
              <w:t>120.1</w:t>
            </w:r>
          </w:p>
        </w:tc>
        <w:tc>
          <w:tcPr>
            <w:tcW w:w="1818" w:type="dxa"/>
          </w:tcPr>
          <w:p w:rsidR="0001623A" w:rsidRPr="000A58DA" w:rsidRDefault="0001623A" w:rsidP="00081943">
            <w:pPr>
              <w:jc w:val="center"/>
              <w:rPr>
                <w:rFonts w:cs="Times New Roman"/>
                <w:szCs w:val="24"/>
              </w:rPr>
            </w:pPr>
            <w:r w:rsidRPr="000A58DA">
              <w:rPr>
                <w:rFonts w:cs="Times New Roman"/>
                <w:szCs w:val="24"/>
              </w:rPr>
              <w:t>682.9</w:t>
            </w:r>
          </w:p>
        </w:tc>
      </w:tr>
      <w:tr w:rsidR="0001623A" w:rsidRPr="000A58DA" w:rsidTr="005F0BF3">
        <w:tc>
          <w:tcPr>
            <w:tcW w:w="2268" w:type="dxa"/>
          </w:tcPr>
          <w:p w:rsidR="0001623A" w:rsidRPr="000A58DA" w:rsidRDefault="0001623A" w:rsidP="00081943">
            <w:pPr>
              <w:jc w:val="right"/>
              <w:rPr>
                <w:rFonts w:cs="Times New Roman"/>
                <w:szCs w:val="24"/>
              </w:rPr>
            </w:pPr>
            <w:r w:rsidRPr="000A58DA">
              <w:rPr>
                <w:rFonts w:cs="Times New Roman"/>
                <w:szCs w:val="24"/>
              </w:rPr>
              <w:t>Loan Disbursements</w:t>
            </w:r>
          </w:p>
        </w:tc>
        <w:tc>
          <w:tcPr>
            <w:tcW w:w="1710" w:type="dxa"/>
          </w:tcPr>
          <w:p w:rsidR="0001623A" w:rsidRPr="000A58DA" w:rsidRDefault="0001623A" w:rsidP="00081943">
            <w:pPr>
              <w:jc w:val="center"/>
              <w:rPr>
                <w:rFonts w:cs="Times New Roman"/>
                <w:szCs w:val="24"/>
              </w:rPr>
            </w:pPr>
            <w:r w:rsidRPr="000A58DA">
              <w:rPr>
                <w:rFonts w:cs="Times New Roman"/>
                <w:szCs w:val="24"/>
              </w:rPr>
              <w:t>96.3</w:t>
            </w:r>
          </w:p>
        </w:tc>
        <w:tc>
          <w:tcPr>
            <w:tcW w:w="1890" w:type="dxa"/>
          </w:tcPr>
          <w:p w:rsidR="0001623A" w:rsidRPr="000A58DA" w:rsidRDefault="0001623A" w:rsidP="00081943">
            <w:pPr>
              <w:jc w:val="center"/>
              <w:rPr>
                <w:rFonts w:cs="Times New Roman"/>
                <w:szCs w:val="24"/>
              </w:rPr>
            </w:pPr>
            <w:r w:rsidRPr="000A58DA">
              <w:rPr>
                <w:rFonts w:cs="Times New Roman"/>
                <w:szCs w:val="24"/>
              </w:rPr>
              <w:t>10.3</w:t>
            </w:r>
          </w:p>
        </w:tc>
        <w:tc>
          <w:tcPr>
            <w:tcW w:w="1890" w:type="dxa"/>
          </w:tcPr>
          <w:p w:rsidR="0001623A" w:rsidRPr="000A58DA" w:rsidRDefault="0001623A" w:rsidP="00081943">
            <w:pPr>
              <w:jc w:val="center"/>
              <w:rPr>
                <w:rFonts w:cs="Times New Roman"/>
                <w:szCs w:val="24"/>
              </w:rPr>
            </w:pPr>
            <w:r w:rsidRPr="000A58DA">
              <w:rPr>
                <w:rFonts w:cs="Times New Roman"/>
                <w:szCs w:val="24"/>
              </w:rPr>
              <w:t>28.9</w:t>
            </w:r>
          </w:p>
        </w:tc>
        <w:tc>
          <w:tcPr>
            <w:tcW w:w="1818" w:type="dxa"/>
          </w:tcPr>
          <w:p w:rsidR="0001623A" w:rsidRPr="000A58DA" w:rsidRDefault="0001623A" w:rsidP="00081943">
            <w:pPr>
              <w:jc w:val="center"/>
              <w:rPr>
                <w:rFonts w:cs="Times New Roman"/>
                <w:szCs w:val="24"/>
              </w:rPr>
            </w:pPr>
            <w:r w:rsidRPr="000A58DA">
              <w:rPr>
                <w:rFonts w:cs="Times New Roman"/>
                <w:szCs w:val="24"/>
              </w:rPr>
              <w:t>86.7</w:t>
            </w:r>
          </w:p>
        </w:tc>
      </w:tr>
    </w:tbl>
    <w:p w:rsidR="0001623A" w:rsidRPr="000A58DA" w:rsidRDefault="0001623A" w:rsidP="00081943">
      <w:pPr>
        <w:rPr>
          <w:rFonts w:cs="Times New Roman"/>
          <w:szCs w:val="24"/>
        </w:rPr>
      </w:pPr>
    </w:p>
    <w:p w:rsidR="0001623A" w:rsidRPr="000A58DA" w:rsidRDefault="0001623A" w:rsidP="00081943">
      <w:pPr>
        <w:rPr>
          <w:rFonts w:cs="Times New Roman"/>
          <w:szCs w:val="24"/>
        </w:rPr>
      </w:pPr>
      <w:r w:rsidRPr="000A58DA">
        <w:rPr>
          <w:rFonts w:cs="Times New Roman"/>
          <w:szCs w:val="24"/>
        </w:rPr>
        <w:t>Source: BNDES 2011:58.</w:t>
      </w:r>
    </w:p>
    <w:p w:rsidR="0001623A" w:rsidRPr="000A58DA" w:rsidRDefault="0001623A" w:rsidP="00081943">
      <w:pPr>
        <w:rPr>
          <w:rFonts w:cs="Times New Roman"/>
          <w:szCs w:val="24"/>
        </w:rPr>
      </w:pPr>
    </w:p>
    <w:p w:rsidR="0001623A" w:rsidRPr="000A58DA" w:rsidRDefault="0001623A" w:rsidP="00081943">
      <w:pPr>
        <w:rPr>
          <w:rFonts w:cs="Times New Roman"/>
          <w:b/>
          <w:szCs w:val="24"/>
        </w:rPr>
      </w:pPr>
      <w:r w:rsidRPr="000A58DA">
        <w:rPr>
          <w:rFonts w:cs="Times New Roman"/>
          <w:b/>
          <w:szCs w:val="24"/>
        </w:rPr>
        <w:br w:type="page"/>
      </w:r>
    </w:p>
    <w:p w:rsidR="0001623A" w:rsidRPr="000A58DA" w:rsidRDefault="0001623A" w:rsidP="00081943">
      <w:pPr>
        <w:rPr>
          <w:rFonts w:cs="Times New Roman"/>
          <w:szCs w:val="24"/>
        </w:rPr>
      </w:pPr>
    </w:p>
    <w:p w:rsidR="0001623A" w:rsidRPr="000A58DA" w:rsidRDefault="0001623A" w:rsidP="00081943">
      <w:pPr>
        <w:rPr>
          <w:rFonts w:cs="Times New Roman"/>
          <w:szCs w:val="24"/>
        </w:rPr>
      </w:pPr>
    </w:p>
    <w:p w:rsidR="0001623A" w:rsidRPr="000A58DA" w:rsidRDefault="0001623A" w:rsidP="00081943">
      <w:pPr>
        <w:rPr>
          <w:rFonts w:cs="Times New Roman"/>
          <w:szCs w:val="24"/>
        </w:rPr>
      </w:pPr>
    </w:p>
    <w:p w:rsidR="0001623A" w:rsidRPr="000A58DA" w:rsidRDefault="0001623A" w:rsidP="00081943">
      <w:pPr>
        <w:rPr>
          <w:rFonts w:cs="Times New Roman"/>
          <w:szCs w:val="24"/>
        </w:rPr>
      </w:pPr>
      <w:r w:rsidRPr="000A58DA">
        <w:rPr>
          <w:rFonts w:cs="Times New Roman"/>
          <w:szCs w:val="24"/>
        </w:rPr>
        <w:t>Table 2. Brazilian Trade Structure, 2012*</w:t>
      </w:r>
    </w:p>
    <w:p w:rsidR="0001623A" w:rsidRPr="000A58DA" w:rsidRDefault="0001623A" w:rsidP="00081943">
      <w:pPr>
        <w:rPr>
          <w:rFonts w:cs="Times New Roman"/>
          <w:szCs w:val="24"/>
        </w:rPr>
      </w:pPr>
      <w:r w:rsidRPr="000A58DA">
        <w:rPr>
          <w:rFonts w:cs="Times New Roman"/>
          <w:szCs w:val="24"/>
        </w:rPr>
        <w:t>(in percent)</w:t>
      </w:r>
    </w:p>
    <w:p w:rsidR="0001623A" w:rsidRPr="000A58DA" w:rsidRDefault="0001623A" w:rsidP="00081943">
      <w:pPr>
        <w:rPr>
          <w:rFonts w:cs="Times New Roman"/>
          <w:szCs w:val="24"/>
        </w:rPr>
      </w:pPr>
    </w:p>
    <w:tbl>
      <w:tblPr>
        <w:tblStyle w:val="TableGrid"/>
        <w:tblW w:w="0" w:type="auto"/>
        <w:tblLook w:val="04A0" w:firstRow="1" w:lastRow="0" w:firstColumn="1" w:lastColumn="0" w:noHBand="0" w:noVBand="1"/>
      </w:tblPr>
      <w:tblGrid>
        <w:gridCol w:w="1472"/>
        <w:gridCol w:w="1314"/>
        <w:gridCol w:w="1297"/>
        <w:gridCol w:w="255"/>
        <w:gridCol w:w="1980"/>
        <w:gridCol w:w="1710"/>
        <w:gridCol w:w="1548"/>
      </w:tblGrid>
      <w:tr w:rsidR="0001623A" w:rsidRPr="000A58DA" w:rsidTr="005F0BF3">
        <w:tc>
          <w:tcPr>
            <w:tcW w:w="1472" w:type="dxa"/>
          </w:tcPr>
          <w:p w:rsidR="0001623A" w:rsidRPr="000A58DA" w:rsidRDefault="0001623A" w:rsidP="00081943">
            <w:pPr>
              <w:rPr>
                <w:rFonts w:cs="Times New Roman"/>
                <w:szCs w:val="24"/>
              </w:rPr>
            </w:pPr>
          </w:p>
        </w:tc>
        <w:tc>
          <w:tcPr>
            <w:tcW w:w="1314" w:type="dxa"/>
          </w:tcPr>
          <w:p w:rsidR="0001623A" w:rsidRPr="000A58DA" w:rsidRDefault="0001623A" w:rsidP="00081943">
            <w:pPr>
              <w:jc w:val="center"/>
              <w:rPr>
                <w:rFonts w:cs="Times New Roman"/>
                <w:szCs w:val="24"/>
              </w:rPr>
            </w:pPr>
            <w:r w:rsidRPr="000A58DA">
              <w:rPr>
                <w:rFonts w:cs="Times New Roman"/>
                <w:szCs w:val="24"/>
              </w:rPr>
              <w:t>Share of</w:t>
            </w:r>
          </w:p>
          <w:p w:rsidR="0001623A" w:rsidRPr="000A58DA" w:rsidRDefault="0001623A" w:rsidP="00081943">
            <w:pPr>
              <w:jc w:val="center"/>
              <w:rPr>
                <w:rFonts w:cs="Times New Roman"/>
                <w:szCs w:val="24"/>
              </w:rPr>
            </w:pPr>
            <w:r w:rsidRPr="000A58DA">
              <w:rPr>
                <w:rFonts w:cs="Times New Roman"/>
                <w:szCs w:val="24"/>
              </w:rPr>
              <w:t>imports from:</w:t>
            </w:r>
          </w:p>
        </w:tc>
        <w:tc>
          <w:tcPr>
            <w:tcW w:w="1297" w:type="dxa"/>
          </w:tcPr>
          <w:p w:rsidR="0001623A" w:rsidRPr="000A58DA" w:rsidRDefault="0001623A" w:rsidP="00081943">
            <w:pPr>
              <w:jc w:val="center"/>
              <w:rPr>
                <w:rFonts w:cs="Times New Roman"/>
                <w:szCs w:val="24"/>
              </w:rPr>
            </w:pPr>
            <w:r w:rsidRPr="000A58DA">
              <w:rPr>
                <w:rFonts w:cs="Times New Roman"/>
                <w:szCs w:val="24"/>
              </w:rPr>
              <w:t>Share of</w:t>
            </w:r>
          </w:p>
          <w:p w:rsidR="0001623A" w:rsidRPr="000A58DA" w:rsidRDefault="0001623A" w:rsidP="00081943">
            <w:pPr>
              <w:jc w:val="center"/>
              <w:rPr>
                <w:rFonts w:cs="Times New Roman"/>
                <w:szCs w:val="24"/>
              </w:rPr>
            </w:pPr>
            <w:r w:rsidRPr="000A58DA">
              <w:rPr>
                <w:rFonts w:cs="Times New Roman"/>
                <w:szCs w:val="24"/>
              </w:rPr>
              <w:t>exports to:</w:t>
            </w:r>
          </w:p>
        </w:tc>
        <w:tc>
          <w:tcPr>
            <w:tcW w:w="255" w:type="dxa"/>
          </w:tcPr>
          <w:p w:rsidR="0001623A" w:rsidRPr="000A58DA" w:rsidRDefault="0001623A" w:rsidP="00081943">
            <w:pPr>
              <w:jc w:val="center"/>
              <w:rPr>
                <w:rFonts w:cs="Times New Roman"/>
                <w:szCs w:val="24"/>
              </w:rPr>
            </w:pPr>
          </w:p>
        </w:tc>
        <w:tc>
          <w:tcPr>
            <w:tcW w:w="1980" w:type="dxa"/>
          </w:tcPr>
          <w:p w:rsidR="0001623A" w:rsidRPr="000A58DA" w:rsidRDefault="0001623A" w:rsidP="00081943">
            <w:pPr>
              <w:jc w:val="center"/>
              <w:rPr>
                <w:rFonts w:cs="Times New Roman"/>
                <w:szCs w:val="24"/>
              </w:rPr>
            </w:pPr>
            <w:r w:rsidRPr="000A58DA">
              <w:rPr>
                <w:rFonts w:cs="Times New Roman"/>
                <w:szCs w:val="24"/>
              </w:rPr>
              <w:t>Manufactures, share in</w:t>
            </w:r>
          </w:p>
          <w:p w:rsidR="0001623A" w:rsidRPr="000A58DA" w:rsidRDefault="0001623A" w:rsidP="00081943">
            <w:pPr>
              <w:jc w:val="center"/>
              <w:rPr>
                <w:rFonts w:cs="Times New Roman"/>
                <w:szCs w:val="24"/>
              </w:rPr>
            </w:pPr>
            <w:r w:rsidRPr="000A58DA">
              <w:rPr>
                <w:rFonts w:cs="Times New Roman"/>
                <w:szCs w:val="24"/>
              </w:rPr>
              <w:t>exports to:</w:t>
            </w:r>
          </w:p>
        </w:tc>
        <w:tc>
          <w:tcPr>
            <w:tcW w:w="1710" w:type="dxa"/>
          </w:tcPr>
          <w:p w:rsidR="0001623A" w:rsidRPr="000A58DA" w:rsidRDefault="0001623A" w:rsidP="00081943">
            <w:pPr>
              <w:jc w:val="center"/>
              <w:rPr>
                <w:rFonts w:cs="Times New Roman"/>
                <w:szCs w:val="24"/>
              </w:rPr>
            </w:pPr>
            <w:r w:rsidRPr="000A58DA">
              <w:rPr>
                <w:rFonts w:cs="Times New Roman"/>
                <w:szCs w:val="24"/>
              </w:rPr>
              <w:t>Primary products, share in exports to:</w:t>
            </w:r>
          </w:p>
        </w:tc>
        <w:tc>
          <w:tcPr>
            <w:tcW w:w="1548" w:type="dxa"/>
          </w:tcPr>
          <w:p w:rsidR="0001623A" w:rsidRPr="000A58DA" w:rsidRDefault="0001623A" w:rsidP="00081943">
            <w:pPr>
              <w:jc w:val="center"/>
              <w:rPr>
                <w:rFonts w:cs="Times New Roman"/>
                <w:szCs w:val="24"/>
              </w:rPr>
            </w:pPr>
            <w:r w:rsidRPr="000A58DA">
              <w:rPr>
                <w:rFonts w:cs="Times New Roman"/>
                <w:szCs w:val="24"/>
              </w:rPr>
              <w:t>Total Brazilian exports to:</w:t>
            </w:r>
          </w:p>
        </w:tc>
      </w:tr>
      <w:tr w:rsidR="0001623A" w:rsidRPr="000A58DA" w:rsidTr="005F0BF3">
        <w:tc>
          <w:tcPr>
            <w:tcW w:w="1472" w:type="dxa"/>
          </w:tcPr>
          <w:p w:rsidR="0001623A" w:rsidRPr="000A58DA" w:rsidRDefault="0001623A" w:rsidP="00081943">
            <w:pPr>
              <w:rPr>
                <w:rFonts w:cs="Times New Roman"/>
                <w:szCs w:val="24"/>
              </w:rPr>
            </w:pPr>
            <w:r w:rsidRPr="000A58DA">
              <w:rPr>
                <w:rFonts w:cs="Times New Roman"/>
                <w:szCs w:val="24"/>
              </w:rPr>
              <w:t>Asia</w:t>
            </w:r>
          </w:p>
        </w:tc>
        <w:tc>
          <w:tcPr>
            <w:tcW w:w="1314" w:type="dxa"/>
          </w:tcPr>
          <w:p w:rsidR="0001623A" w:rsidRPr="000A58DA" w:rsidRDefault="0001623A" w:rsidP="00081943">
            <w:pPr>
              <w:jc w:val="center"/>
              <w:rPr>
                <w:rFonts w:cs="Times New Roman"/>
                <w:szCs w:val="24"/>
              </w:rPr>
            </w:pPr>
            <w:r w:rsidRPr="000A58DA">
              <w:rPr>
                <w:rFonts w:cs="Times New Roman"/>
                <w:szCs w:val="24"/>
              </w:rPr>
              <w:t>31.1</w:t>
            </w:r>
          </w:p>
        </w:tc>
        <w:tc>
          <w:tcPr>
            <w:tcW w:w="1297" w:type="dxa"/>
          </w:tcPr>
          <w:p w:rsidR="0001623A" w:rsidRPr="000A58DA" w:rsidRDefault="0001623A" w:rsidP="00081943">
            <w:pPr>
              <w:jc w:val="center"/>
              <w:rPr>
                <w:rFonts w:cs="Times New Roman"/>
                <w:szCs w:val="24"/>
              </w:rPr>
            </w:pPr>
            <w:r w:rsidRPr="000A58DA">
              <w:rPr>
                <w:rFonts w:cs="Times New Roman"/>
                <w:szCs w:val="24"/>
              </w:rPr>
              <w:t>30.6</w:t>
            </w:r>
          </w:p>
        </w:tc>
        <w:tc>
          <w:tcPr>
            <w:tcW w:w="255" w:type="dxa"/>
          </w:tcPr>
          <w:p w:rsidR="0001623A" w:rsidRPr="000A58DA" w:rsidRDefault="0001623A" w:rsidP="00081943">
            <w:pPr>
              <w:jc w:val="center"/>
              <w:rPr>
                <w:rFonts w:cs="Times New Roman"/>
                <w:szCs w:val="24"/>
              </w:rPr>
            </w:pPr>
          </w:p>
        </w:tc>
        <w:tc>
          <w:tcPr>
            <w:tcW w:w="1980" w:type="dxa"/>
          </w:tcPr>
          <w:p w:rsidR="0001623A" w:rsidRPr="000A58DA" w:rsidRDefault="0001623A" w:rsidP="00081943">
            <w:pPr>
              <w:jc w:val="center"/>
              <w:rPr>
                <w:rFonts w:cs="Times New Roman"/>
                <w:szCs w:val="24"/>
              </w:rPr>
            </w:pPr>
            <w:r w:rsidRPr="000A58DA">
              <w:rPr>
                <w:rFonts w:cs="Times New Roman"/>
                <w:szCs w:val="24"/>
              </w:rPr>
              <w:t>22</w:t>
            </w:r>
          </w:p>
        </w:tc>
        <w:tc>
          <w:tcPr>
            <w:tcW w:w="1710" w:type="dxa"/>
          </w:tcPr>
          <w:p w:rsidR="0001623A" w:rsidRPr="000A58DA" w:rsidRDefault="0001623A" w:rsidP="00081943">
            <w:pPr>
              <w:jc w:val="center"/>
              <w:rPr>
                <w:rFonts w:cs="Times New Roman"/>
                <w:szCs w:val="24"/>
              </w:rPr>
            </w:pPr>
            <w:r w:rsidRPr="000A58DA">
              <w:rPr>
                <w:rFonts w:cs="Times New Roman"/>
                <w:szCs w:val="24"/>
              </w:rPr>
              <w:t>78</w:t>
            </w:r>
          </w:p>
        </w:tc>
        <w:tc>
          <w:tcPr>
            <w:tcW w:w="1548" w:type="dxa"/>
          </w:tcPr>
          <w:p w:rsidR="0001623A" w:rsidRPr="000A58DA" w:rsidRDefault="0001623A" w:rsidP="00081943">
            <w:pPr>
              <w:jc w:val="center"/>
              <w:rPr>
                <w:rFonts w:cs="Times New Roman"/>
                <w:szCs w:val="24"/>
              </w:rPr>
            </w:pPr>
            <w:r w:rsidRPr="000A58DA">
              <w:rPr>
                <w:rFonts w:cs="Times New Roman"/>
                <w:szCs w:val="24"/>
              </w:rPr>
              <w:t>100</w:t>
            </w:r>
          </w:p>
        </w:tc>
      </w:tr>
      <w:tr w:rsidR="0001623A" w:rsidRPr="000A58DA" w:rsidTr="005F0BF3">
        <w:tc>
          <w:tcPr>
            <w:tcW w:w="1472" w:type="dxa"/>
          </w:tcPr>
          <w:p w:rsidR="0001623A" w:rsidRPr="000A58DA" w:rsidRDefault="0001623A" w:rsidP="00081943">
            <w:pPr>
              <w:rPr>
                <w:rFonts w:cs="Times New Roman"/>
                <w:szCs w:val="24"/>
              </w:rPr>
            </w:pPr>
            <w:r w:rsidRPr="000A58DA">
              <w:rPr>
                <w:rFonts w:cs="Times New Roman"/>
                <w:szCs w:val="24"/>
              </w:rPr>
              <w:t>United States</w:t>
            </w:r>
          </w:p>
        </w:tc>
        <w:tc>
          <w:tcPr>
            <w:tcW w:w="1314" w:type="dxa"/>
          </w:tcPr>
          <w:p w:rsidR="0001623A" w:rsidRPr="000A58DA" w:rsidRDefault="0001623A" w:rsidP="00081943">
            <w:pPr>
              <w:jc w:val="center"/>
              <w:rPr>
                <w:rFonts w:cs="Times New Roman"/>
                <w:szCs w:val="24"/>
              </w:rPr>
            </w:pPr>
            <w:r w:rsidRPr="000A58DA">
              <w:rPr>
                <w:rFonts w:cs="Times New Roman"/>
                <w:szCs w:val="24"/>
              </w:rPr>
              <w:t>14.6</w:t>
            </w:r>
          </w:p>
        </w:tc>
        <w:tc>
          <w:tcPr>
            <w:tcW w:w="1297" w:type="dxa"/>
          </w:tcPr>
          <w:p w:rsidR="0001623A" w:rsidRPr="000A58DA" w:rsidRDefault="0001623A" w:rsidP="00081943">
            <w:pPr>
              <w:jc w:val="center"/>
              <w:rPr>
                <w:rFonts w:cs="Times New Roman"/>
                <w:szCs w:val="24"/>
              </w:rPr>
            </w:pPr>
            <w:r w:rsidRPr="000A58DA">
              <w:rPr>
                <w:rFonts w:cs="Times New Roman"/>
                <w:szCs w:val="24"/>
              </w:rPr>
              <w:t>13.8</w:t>
            </w:r>
          </w:p>
        </w:tc>
        <w:tc>
          <w:tcPr>
            <w:tcW w:w="255" w:type="dxa"/>
          </w:tcPr>
          <w:p w:rsidR="0001623A" w:rsidRPr="000A58DA" w:rsidRDefault="0001623A" w:rsidP="00081943">
            <w:pPr>
              <w:jc w:val="center"/>
              <w:rPr>
                <w:rFonts w:cs="Times New Roman"/>
                <w:szCs w:val="24"/>
              </w:rPr>
            </w:pPr>
          </w:p>
        </w:tc>
        <w:tc>
          <w:tcPr>
            <w:tcW w:w="1980" w:type="dxa"/>
          </w:tcPr>
          <w:p w:rsidR="0001623A" w:rsidRPr="000A58DA" w:rsidRDefault="0001623A" w:rsidP="00081943">
            <w:pPr>
              <w:jc w:val="center"/>
              <w:rPr>
                <w:rFonts w:cs="Times New Roman"/>
                <w:szCs w:val="24"/>
              </w:rPr>
            </w:pPr>
            <w:r w:rsidRPr="000A58DA">
              <w:rPr>
                <w:rFonts w:cs="Times New Roman"/>
                <w:szCs w:val="24"/>
              </w:rPr>
              <w:t>66</w:t>
            </w:r>
          </w:p>
        </w:tc>
        <w:tc>
          <w:tcPr>
            <w:tcW w:w="1710" w:type="dxa"/>
          </w:tcPr>
          <w:p w:rsidR="0001623A" w:rsidRPr="000A58DA" w:rsidRDefault="0001623A" w:rsidP="00081943">
            <w:pPr>
              <w:jc w:val="center"/>
              <w:rPr>
                <w:rFonts w:cs="Times New Roman"/>
                <w:szCs w:val="24"/>
              </w:rPr>
            </w:pPr>
            <w:r w:rsidRPr="000A58DA">
              <w:rPr>
                <w:rFonts w:cs="Times New Roman"/>
                <w:szCs w:val="24"/>
              </w:rPr>
              <w:t>34</w:t>
            </w:r>
          </w:p>
        </w:tc>
        <w:tc>
          <w:tcPr>
            <w:tcW w:w="1548" w:type="dxa"/>
          </w:tcPr>
          <w:p w:rsidR="0001623A" w:rsidRPr="000A58DA" w:rsidRDefault="0001623A" w:rsidP="00081943">
            <w:pPr>
              <w:jc w:val="center"/>
              <w:rPr>
                <w:rFonts w:cs="Times New Roman"/>
                <w:szCs w:val="24"/>
              </w:rPr>
            </w:pPr>
            <w:r w:rsidRPr="000A58DA">
              <w:rPr>
                <w:rFonts w:cs="Times New Roman"/>
                <w:szCs w:val="24"/>
              </w:rPr>
              <w:t>100</w:t>
            </w:r>
          </w:p>
        </w:tc>
      </w:tr>
      <w:tr w:rsidR="0001623A" w:rsidRPr="000A58DA" w:rsidTr="005F0BF3">
        <w:tc>
          <w:tcPr>
            <w:tcW w:w="1472" w:type="dxa"/>
          </w:tcPr>
          <w:p w:rsidR="0001623A" w:rsidRPr="000A58DA" w:rsidRDefault="0001623A" w:rsidP="00081943">
            <w:pPr>
              <w:rPr>
                <w:rFonts w:cs="Times New Roman"/>
                <w:szCs w:val="24"/>
              </w:rPr>
            </w:pPr>
            <w:r w:rsidRPr="000A58DA">
              <w:rPr>
                <w:rFonts w:cs="Times New Roman"/>
                <w:szCs w:val="24"/>
              </w:rPr>
              <w:t>Latin America &amp; Caribbean</w:t>
            </w:r>
          </w:p>
        </w:tc>
        <w:tc>
          <w:tcPr>
            <w:tcW w:w="1314" w:type="dxa"/>
          </w:tcPr>
          <w:p w:rsidR="0001623A" w:rsidRPr="000A58DA" w:rsidRDefault="0001623A" w:rsidP="00081943">
            <w:pPr>
              <w:jc w:val="center"/>
              <w:rPr>
                <w:rFonts w:cs="Times New Roman"/>
                <w:szCs w:val="24"/>
              </w:rPr>
            </w:pPr>
            <w:r w:rsidRPr="000A58DA">
              <w:rPr>
                <w:rFonts w:cs="Times New Roman"/>
                <w:szCs w:val="24"/>
              </w:rPr>
              <w:t>16.7</w:t>
            </w:r>
          </w:p>
        </w:tc>
        <w:tc>
          <w:tcPr>
            <w:tcW w:w="1297" w:type="dxa"/>
          </w:tcPr>
          <w:p w:rsidR="0001623A" w:rsidRPr="000A58DA" w:rsidRDefault="0001623A" w:rsidP="00081943">
            <w:pPr>
              <w:jc w:val="center"/>
              <w:rPr>
                <w:rFonts w:cs="Times New Roman"/>
                <w:szCs w:val="24"/>
              </w:rPr>
            </w:pPr>
            <w:r w:rsidRPr="000A58DA">
              <w:rPr>
                <w:rFonts w:cs="Times New Roman"/>
                <w:szCs w:val="24"/>
              </w:rPr>
              <w:t>20.8</w:t>
            </w:r>
          </w:p>
        </w:tc>
        <w:tc>
          <w:tcPr>
            <w:tcW w:w="255" w:type="dxa"/>
          </w:tcPr>
          <w:p w:rsidR="0001623A" w:rsidRPr="000A58DA" w:rsidRDefault="0001623A" w:rsidP="00081943">
            <w:pPr>
              <w:jc w:val="center"/>
              <w:rPr>
                <w:rFonts w:cs="Times New Roman"/>
                <w:szCs w:val="24"/>
              </w:rPr>
            </w:pPr>
          </w:p>
        </w:tc>
        <w:tc>
          <w:tcPr>
            <w:tcW w:w="1980" w:type="dxa"/>
          </w:tcPr>
          <w:p w:rsidR="0001623A" w:rsidRPr="000A58DA" w:rsidRDefault="0001623A" w:rsidP="00081943">
            <w:pPr>
              <w:jc w:val="center"/>
              <w:rPr>
                <w:rFonts w:cs="Times New Roman"/>
                <w:szCs w:val="24"/>
              </w:rPr>
            </w:pPr>
            <w:r w:rsidRPr="000A58DA">
              <w:rPr>
                <w:rFonts w:cs="Times New Roman"/>
                <w:szCs w:val="24"/>
              </w:rPr>
              <w:t>84</w:t>
            </w:r>
          </w:p>
        </w:tc>
        <w:tc>
          <w:tcPr>
            <w:tcW w:w="1710" w:type="dxa"/>
          </w:tcPr>
          <w:p w:rsidR="0001623A" w:rsidRPr="000A58DA" w:rsidRDefault="0001623A" w:rsidP="00081943">
            <w:pPr>
              <w:jc w:val="center"/>
              <w:rPr>
                <w:rFonts w:cs="Times New Roman"/>
                <w:szCs w:val="24"/>
              </w:rPr>
            </w:pPr>
            <w:r w:rsidRPr="000A58DA">
              <w:rPr>
                <w:rFonts w:cs="Times New Roman"/>
                <w:szCs w:val="24"/>
              </w:rPr>
              <w:t>16</w:t>
            </w:r>
          </w:p>
        </w:tc>
        <w:tc>
          <w:tcPr>
            <w:tcW w:w="1548" w:type="dxa"/>
          </w:tcPr>
          <w:p w:rsidR="0001623A" w:rsidRPr="000A58DA" w:rsidRDefault="0001623A" w:rsidP="00081943">
            <w:pPr>
              <w:jc w:val="center"/>
              <w:rPr>
                <w:rFonts w:cs="Times New Roman"/>
                <w:szCs w:val="24"/>
              </w:rPr>
            </w:pPr>
            <w:r w:rsidRPr="000A58DA">
              <w:rPr>
                <w:rFonts w:cs="Times New Roman"/>
                <w:szCs w:val="24"/>
              </w:rPr>
              <w:t>100</w:t>
            </w:r>
          </w:p>
        </w:tc>
      </w:tr>
      <w:tr w:rsidR="0001623A" w:rsidRPr="000A58DA" w:rsidTr="005F0BF3">
        <w:tc>
          <w:tcPr>
            <w:tcW w:w="1472" w:type="dxa"/>
          </w:tcPr>
          <w:p w:rsidR="0001623A" w:rsidRPr="000A58DA" w:rsidRDefault="0001623A" w:rsidP="00081943">
            <w:pPr>
              <w:rPr>
                <w:rFonts w:cs="Times New Roman"/>
                <w:szCs w:val="24"/>
              </w:rPr>
            </w:pPr>
            <w:r w:rsidRPr="000A58DA">
              <w:rPr>
                <w:rFonts w:cs="Times New Roman"/>
                <w:szCs w:val="24"/>
              </w:rPr>
              <w:t>European Union</w:t>
            </w:r>
          </w:p>
        </w:tc>
        <w:tc>
          <w:tcPr>
            <w:tcW w:w="1314" w:type="dxa"/>
          </w:tcPr>
          <w:p w:rsidR="0001623A" w:rsidRPr="000A58DA" w:rsidRDefault="0001623A" w:rsidP="00081943">
            <w:pPr>
              <w:jc w:val="center"/>
              <w:rPr>
                <w:rFonts w:cs="Times New Roman"/>
                <w:szCs w:val="24"/>
              </w:rPr>
            </w:pPr>
            <w:r w:rsidRPr="000A58DA">
              <w:rPr>
                <w:rFonts w:cs="Times New Roman"/>
                <w:szCs w:val="24"/>
              </w:rPr>
              <w:t>21.3</w:t>
            </w:r>
          </w:p>
        </w:tc>
        <w:tc>
          <w:tcPr>
            <w:tcW w:w="1297" w:type="dxa"/>
          </w:tcPr>
          <w:p w:rsidR="0001623A" w:rsidRPr="000A58DA" w:rsidRDefault="0001623A" w:rsidP="00081943">
            <w:pPr>
              <w:jc w:val="center"/>
              <w:rPr>
                <w:rFonts w:cs="Times New Roman"/>
                <w:szCs w:val="24"/>
              </w:rPr>
            </w:pPr>
            <w:r w:rsidRPr="000A58DA">
              <w:rPr>
                <w:rFonts w:cs="Times New Roman"/>
                <w:szCs w:val="24"/>
              </w:rPr>
              <w:t>20.4</w:t>
            </w:r>
          </w:p>
        </w:tc>
        <w:tc>
          <w:tcPr>
            <w:tcW w:w="255" w:type="dxa"/>
          </w:tcPr>
          <w:p w:rsidR="0001623A" w:rsidRPr="000A58DA" w:rsidRDefault="0001623A" w:rsidP="00081943">
            <w:pPr>
              <w:jc w:val="center"/>
              <w:rPr>
                <w:rFonts w:cs="Times New Roman"/>
                <w:szCs w:val="24"/>
              </w:rPr>
            </w:pPr>
          </w:p>
        </w:tc>
        <w:tc>
          <w:tcPr>
            <w:tcW w:w="1980" w:type="dxa"/>
          </w:tcPr>
          <w:p w:rsidR="0001623A" w:rsidRPr="000A58DA" w:rsidRDefault="0001623A" w:rsidP="00081943">
            <w:pPr>
              <w:jc w:val="center"/>
              <w:rPr>
                <w:rFonts w:cs="Times New Roman"/>
                <w:szCs w:val="24"/>
              </w:rPr>
            </w:pPr>
            <w:r w:rsidRPr="000A58DA">
              <w:rPr>
                <w:rFonts w:cs="Times New Roman"/>
                <w:szCs w:val="24"/>
              </w:rPr>
              <w:t>50</w:t>
            </w:r>
          </w:p>
        </w:tc>
        <w:tc>
          <w:tcPr>
            <w:tcW w:w="1710" w:type="dxa"/>
          </w:tcPr>
          <w:p w:rsidR="0001623A" w:rsidRPr="000A58DA" w:rsidRDefault="0001623A" w:rsidP="00081943">
            <w:pPr>
              <w:jc w:val="center"/>
              <w:rPr>
                <w:rFonts w:cs="Times New Roman"/>
                <w:szCs w:val="24"/>
              </w:rPr>
            </w:pPr>
            <w:r w:rsidRPr="000A58DA">
              <w:rPr>
                <w:rFonts w:cs="Times New Roman"/>
                <w:szCs w:val="24"/>
              </w:rPr>
              <w:t>50</w:t>
            </w:r>
          </w:p>
        </w:tc>
        <w:tc>
          <w:tcPr>
            <w:tcW w:w="1548" w:type="dxa"/>
          </w:tcPr>
          <w:p w:rsidR="0001623A" w:rsidRPr="000A58DA" w:rsidRDefault="0001623A" w:rsidP="00081943">
            <w:pPr>
              <w:jc w:val="center"/>
              <w:rPr>
                <w:rFonts w:cs="Times New Roman"/>
                <w:szCs w:val="24"/>
              </w:rPr>
            </w:pPr>
            <w:r w:rsidRPr="000A58DA">
              <w:rPr>
                <w:rFonts w:cs="Times New Roman"/>
                <w:szCs w:val="24"/>
              </w:rPr>
              <w:t>100</w:t>
            </w:r>
          </w:p>
        </w:tc>
      </w:tr>
      <w:tr w:rsidR="0001623A" w:rsidRPr="000A58DA" w:rsidTr="005F0BF3">
        <w:tc>
          <w:tcPr>
            <w:tcW w:w="1472" w:type="dxa"/>
          </w:tcPr>
          <w:p w:rsidR="0001623A" w:rsidRPr="000A58DA" w:rsidRDefault="0001623A" w:rsidP="00081943">
            <w:pPr>
              <w:rPr>
                <w:rFonts w:cs="Times New Roman"/>
                <w:szCs w:val="24"/>
              </w:rPr>
            </w:pPr>
            <w:r w:rsidRPr="000A58DA">
              <w:rPr>
                <w:rFonts w:cs="Times New Roman"/>
                <w:szCs w:val="24"/>
              </w:rPr>
              <w:t>Other</w:t>
            </w:r>
          </w:p>
        </w:tc>
        <w:tc>
          <w:tcPr>
            <w:tcW w:w="1314" w:type="dxa"/>
          </w:tcPr>
          <w:p w:rsidR="0001623A" w:rsidRPr="000A58DA" w:rsidRDefault="0001623A" w:rsidP="00081943">
            <w:pPr>
              <w:jc w:val="center"/>
              <w:rPr>
                <w:rFonts w:cs="Times New Roman"/>
                <w:szCs w:val="24"/>
              </w:rPr>
            </w:pPr>
            <w:r w:rsidRPr="000A58DA">
              <w:rPr>
                <w:rFonts w:cs="Times New Roman"/>
                <w:szCs w:val="24"/>
              </w:rPr>
              <w:t>16.3</w:t>
            </w:r>
          </w:p>
        </w:tc>
        <w:tc>
          <w:tcPr>
            <w:tcW w:w="1297" w:type="dxa"/>
          </w:tcPr>
          <w:p w:rsidR="0001623A" w:rsidRPr="000A58DA" w:rsidRDefault="0001623A" w:rsidP="00081943">
            <w:pPr>
              <w:jc w:val="center"/>
              <w:rPr>
                <w:rFonts w:cs="Times New Roman"/>
                <w:szCs w:val="24"/>
              </w:rPr>
            </w:pPr>
            <w:r w:rsidRPr="000A58DA">
              <w:rPr>
                <w:rFonts w:cs="Times New Roman"/>
                <w:szCs w:val="24"/>
              </w:rPr>
              <w:t>14.4</w:t>
            </w:r>
          </w:p>
        </w:tc>
        <w:tc>
          <w:tcPr>
            <w:tcW w:w="255" w:type="dxa"/>
          </w:tcPr>
          <w:p w:rsidR="0001623A" w:rsidRPr="000A58DA" w:rsidRDefault="0001623A" w:rsidP="00081943">
            <w:pPr>
              <w:jc w:val="center"/>
              <w:rPr>
                <w:rFonts w:cs="Times New Roman"/>
                <w:szCs w:val="24"/>
              </w:rPr>
            </w:pPr>
          </w:p>
        </w:tc>
        <w:tc>
          <w:tcPr>
            <w:tcW w:w="1980" w:type="dxa"/>
          </w:tcPr>
          <w:p w:rsidR="0001623A" w:rsidRPr="000A58DA" w:rsidRDefault="0001623A" w:rsidP="00081943">
            <w:pPr>
              <w:jc w:val="center"/>
              <w:rPr>
                <w:rFonts w:cs="Times New Roman"/>
                <w:szCs w:val="24"/>
              </w:rPr>
            </w:pPr>
            <w:r w:rsidRPr="000A58DA">
              <w:rPr>
                <w:rFonts w:cs="Times New Roman"/>
                <w:szCs w:val="24"/>
              </w:rPr>
              <w:t>71</w:t>
            </w:r>
          </w:p>
        </w:tc>
        <w:tc>
          <w:tcPr>
            <w:tcW w:w="1710" w:type="dxa"/>
          </w:tcPr>
          <w:p w:rsidR="0001623A" w:rsidRPr="000A58DA" w:rsidRDefault="0001623A" w:rsidP="00081943">
            <w:pPr>
              <w:jc w:val="center"/>
              <w:rPr>
                <w:rFonts w:cs="Times New Roman"/>
                <w:szCs w:val="24"/>
              </w:rPr>
            </w:pPr>
            <w:r w:rsidRPr="000A58DA">
              <w:rPr>
                <w:rFonts w:cs="Times New Roman"/>
                <w:szCs w:val="24"/>
              </w:rPr>
              <w:t>29</w:t>
            </w:r>
          </w:p>
        </w:tc>
        <w:tc>
          <w:tcPr>
            <w:tcW w:w="1548" w:type="dxa"/>
          </w:tcPr>
          <w:p w:rsidR="0001623A" w:rsidRPr="000A58DA" w:rsidRDefault="0001623A" w:rsidP="00081943">
            <w:pPr>
              <w:jc w:val="center"/>
              <w:rPr>
                <w:rFonts w:cs="Times New Roman"/>
                <w:szCs w:val="24"/>
              </w:rPr>
            </w:pPr>
            <w:r w:rsidRPr="000A58DA">
              <w:rPr>
                <w:rFonts w:cs="Times New Roman"/>
                <w:szCs w:val="24"/>
              </w:rPr>
              <w:t>100</w:t>
            </w:r>
          </w:p>
        </w:tc>
      </w:tr>
      <w:tr w:rsidR="0001623A" w:rsidRPr="000A58DA" w:rsidTr="005F0BF3">
        <w:tc>
          <w:tcPr>
            <w:tcW w:w="1472" w:type="dxa"/>
          </w:tcPr>
          <w:p w:rsidR="0001623A" w:rsidRPr="000A58DA" w:rsidRDefault="0001623A" w:rsidP="00081943">
            <w:pPr>
              <w:rPr>
                <w:rFonts w:cs="Times New Roman"/>
                <w:szCs w:val="24"/>
              </w:rPr>
            </w:pPr>
            <w:r w:rsidRPr="000A58DA">
              <w:rPr>
                <w:rFonts w:cs="Times New Roman"/>
                <w:szCs w:val="24"/>
              </w:rPr>
              <w:t>World</w:t>
            </w:r>
          </w:p>
        </w:tc>
        <w:tc>
          <w:tcPr>
            <w:tcW w:w="1314" w:type="dxa"/>
          </w:tcPr>
          <w:p w:rsidR="0001623A" w:rsidRPr="000A58DA" w:rsidRDefault="0001623A" w:rsidP="00081943">
            <w:pPr>
              <w:jc w:val="center"/>
              <w:rPr>
                <w:rFonts w:cs="Times New Roman"/>
                <w:szCs w:val="24"/>
              </w:rPr>
            </w:pPr>
            <w:r w:rsidRPr="000A58DA">
              <w:rPr>
                <w:rFonts w:cs="Times New Roman"/>
                <w:szCs w:val="24"/>
              </w:rPr>
              <w:t>100.0</w:t>
            </w:r>
          </w:p>
        </w:tc>
        <w:tc>
          <w:tcPr>
            <w:tcW w:w="1297" w:type="dxa"/>
          </w:tcPr>
          <w:p w:rsidR="0001623A" w:rsidRPr="000A58DA" w:rsidRDefault="0001623A" w:rsidP="00081943">
            <w:pPr>
              <w:jc w:val="center"/>
              <w:rPr>
                <w:rFonts w:cs="Times New Roman"/>
                <w:szCs w:val="24"/>
              </w:rPr>
            </w:pPr>
            <w:r w:rsidRPr="000A58DA">
              <w:rPr>
                <w:rFonts w:cs="Times New Roman"/>
                <w:szCs w:val="24"/>
              </w:rPr>
              <w:t>100.0</w:t>
            </w:r>
          </w:p>
        </w:tc>
        <w:tc>
          <w:tcPr>
            <w:tcW w:w="255" w:type="dxa"/>
          </w:tcPr>
          <w:p w:rsidR="0001623A" w:rsidRPr="000A58DA" w:rsidRDefault="0001623A" w:rsidP="00081943">
            <w:pPr>
              <w:jc w:val="center"/>
              <w:rPr>
                <w:rFonts w:cs="Times New Roman"/>
                <w:szCs w:val="24"/>
              </w:rPr>
            </w:pPr>
          </w:p>
        </w:tc>
        <w:tc>
          <w:tcPr>
            <w:tcW w:w="1980" w:type="dxa"/>
          </w:tcPr>
          <w:p w:rsidR="0001623A" w:rsidRPr="000A58DA" w:rsidRDefault="0001623A" w:rsidP="00081943">
            <w:pPr>
              <w:jc w:val="center"/>
              <w:rPr>
                <w:rFonts w:cs="Times New Roman"/>
                <w:szCs w:val="24"/>
              </w:rPr>
            </w:pPr>
            <w:r w:rsidRPr="000A58DA">
              <w:rPr>
                <w:rFonts w:cs="Times New Roman"/>
                <w:szCs w:val="24"/>
              </w:rPr>
              <w:t>50</w:t>
            </w:r>
          </w:p>
        </w:tc>
        <w:tc>
          <w:tcPr>
            <w:tcW w:w="1710" w:type="dxa"/>
          </w:tcPr>
          <w:p w:rsidR="0001623A" w:rsidRPr="000A58DA" w:rsidRDefault="0001623A" w:rsidP="00081943">
            <w:pPr>
              <w:jc w:val="center"/>
              <w:rPr>
                <w:rFonts w:cs="Times New Roman"/>
                <w:szCs w:val="24"/>
              </w:rPr>
            </w:pPr>
            <w:r w:rsidRPr="000A58DA">
              <w:rPr>
                <w:rFonts w:cs="Times New Roman"/>
                <w:szCs w:val="24"/>
              </w:rPr>
              <w:t>50</w:t>
            </w:r>
          </w:p>
        </w:tc>
        <w:tc>
          <w:tcPr>
            <w:tcW w:w="1548" w:type="dxa"/>
          </w:tcPr>
          <w:p w:rsidR="0001623A" w:rsidRPr="000A58DA" w:rsidRDefault="0001623A" w:rsidP="00081943">
            <w:pPr>
              <w:jc w:val="center"/>
              <w:rPr>
                <w:rFonts w:cs="Times New Roman"/>
                <w:szCs w:val="24"/>
              </w:rPr>
            </w:pPr>
            <w:r w:rsidRPr="000A58DA">
              <w:rPr>
                <w:rFonts w:cs="Times New Roman"/>
                <w:szCs w:val="24"/>
              </w:rPr>
              <w:t>100</w:t>
            </w:r>
          </w:p>
        </w:tc>
      </w:tr>
    </w:tbl>
    <w:p w:rsidR="0001623A" w:rsidRPr="000A58DA" w:rsidRDefault="0001623A" w:rsidP="00081943">
      <w:pPr>
        <w:rPr>
          <w:rFonts w:cs="Times New Roman"/>
          <w:szCs w:val="24"/>
        </w:rPr>
      </w:pPr>
    </w:p>
    <w:p w:rsidR="0001623A" w:rsidRPr="000A58DA" w:rsidRDefault="0001623A" w:rsidP="00081943">
      <w:pPr>
        <w:rPr>
          <w:rFonts w:cs="Times New Roman"/>
          <w:szCs w:val="24"/>
        </w:rPr>
      </w:pPr>
      <w:r w:rsidRPr="000A58DA">
        <w:rPr>
          <w:rFonts w:cs="Times New Roman"/>
          <w:szCs w:val="24"/>
        </w:rPr>
        <w:t>* January-June, 2012</w:t>
      </w:r>
    </w:p>
    <w:p w:rsidR="0001623A" w:rsidRPr="000A58DA" w:rsidRDefault="0001623A" w:rsidP="00081943">
      <w:pPr>
        <w:rPr>
          <w:rFonts w:cs="Times New Roman"/>
          <w:szCs w:val="24"/>
        </w:rPr>
      </w:pPr>
      <w:r w:rsidRPr="000A58DA">
        <w:rPr>
          <w:rFonts w:cs="Times New Roman"/>
          <w:szCs w:val="24"/>
        </w:rPr>
        <w:t>Note: Columns 1 and 2 add down; columns 3 to 5 add across.</w:t>
      </w:r>
    </w:p>
    <w:p w:rsidR="0001623A" w:rsidRPr="000A58DA" w:rsidRDefault="0001623A" w:rsidP="00081943">
      <w:pPr>
        <w:rPr>
          <w:rFonts w:cs="Times New Roman"/>
          <w:szCs w:val="24"/>
        </w:rPr>
      </w:pPr>
      <w:r w:rsidRPr="000A58DA">
        <w:rPr>
          <w:rFonts w:cs="Times New Roman"/>
          <w:szCs w:val="24"/>
        </w:rPr>
        <w:t xml:space="preserve">Source: </w:t>
      </w:r>
      <w:r w:rsidR="00CB6BD6">
        <w:rPr>
          <w:rFonts w:cs="Times New Roman"/>
          <w:szCs w:val="24"/>
        </w:rPr>
        <w:t xml:space="preserve">Underlying data from </w:t>
      </w:r>
      <w:proofErr w:type="spellStart"/>
      <w:r w:rsidRPr="000A58DA">
        <w:rPr>
          <w:rFonts w:cs="Times New Roman"/>
          <w:szCs w:val="24"/>
        </w:rPr>
        <w:t>Ministério</w:t>
      </w:r>
      <w:proofErr w:type="spellEnd"/>
      <w:r w:rsidRPr="000A58DA">
        <w:rPr>
          <w:rFonts w:cs="Times New Roman"/>
          <w:szCs w:val="24"/>
        </w:rPr>
        <w:t xml:space="preserve"> de </w:t>
      </w:r>
      <w:proofErr w:type="spellStart"/>
      <w:r w:rsidRPr="000A58DA">
        <w:rPr>
          <w:rFonts w:cs="Times New Roman"/>
          <w:szCs w:val="24"/>
        </w:rPr>
        <w:t>Desenvolvimento</w:t>
      </w:r>
      <w:proofErr w:type="spellEnd"/>
      <w:r w:rsidRPr="000A58DA">
        <w:rPr>
          <w:rFonts w:cs="Times New Roman"/>
          <w:szCs w:val="24"/>
        </w:rPr>
        <w:t xml:space="preserve">, </w:t>
      </w:r>
      <w:proofErr w:type="spellStart"/>
      <w:r w:rsidRPr="000A58DA">
        <w:rPr>
          <w:rFonts w:cs="Times New Roman"/>
          <w:szCs w:val="24"/>
        </w:rPr>
        <w:t>Indústria</w:t>
      </w:r>
      <w:proofErr w:type="spellEnd"/>
      <w:r w:rsidRPr="000A58DA">
        <w:rPr>
          <w:rFonts w:cs="Times New Roman"/>
          <w:szCs w:val="24"/>
        </w:rPr>
        <w:t xml:space="preserve"> e </w:t>
      </w:r>
      <w:proofErr w:type="spellStart"/>
      <w:r w:rsidRPr="000A58DA">
        <w:rPr>
          <w:rFonts w:cs="Times New Roman"/>
          <w:szCs w:val="24"/>
        </w:rPr>
        <w:t>Comércio</w:t>
      </w:r>
      <w:proofErr w:type="spellEnd"/>
      <w:r w:rsidRPr="000A58DA">
        <w:rPr>
          <w:rFonts w:cs="Times New Roman"/>
          <w:szCs w:val="24"/>
        </w:rPr>
        <w:t xml:space="preserve"> Exterior (MDIC). </w:t>
      </w:r>
      <w:proofErr w:type="spellStart"/>
      <w:r w:rsidRPr="000A58DA">
        <w:rPr>
          <w:rFonts w:cs="Times New Roman"/>
          <w:i/>
          <w:szCs w:val="24"/>
        </w:rPr>
        <w:t>Balança</w:t>
      </w:r>
      <w:proofErr w:type="spellEnd"/>
      <w:r w:rsidRPr="000A58DA">
        <w:rPr>
          <w:rFonts w:cs="Times New Roman"/>
          <w:i/>
          <w:szCs w:val="24"/>
        </w:rPr>
        <w:t xml:space="preserve"> </w:t>
      </w:r>
      <w:proofErr w:type="spellStart"/>
      <w:r w:rsidRPr="000A58DA">
        <w:rPr>
          <w:rFonts w:cs="Times New Roman"/>
          <w:i/>
          <w:szCs w:val="24"/>
        </w:rPr>
        <w:t>Comércial</w:t>
      </w:r>
      <w:proofErr w:type="spellEnd"/>
      <w:r w:rsidRPr="000A58DA">
        <w:rPr>
          <w:rFonts w:cs="Times New Roman"/>
          <w:i/>
          <w:szCs w:val="24"/>
        </w:rPr>
        <w:t xml:space="preserve"> </w:t>
      </w:r>
      <w:proofErr w:type="spellStart"/>
      <w:r w:rsidRPr="000A58DA">
        <w:rPr>
          <w:rFonts w:cs="Times New Roman"/>
          <w:i/>
          <w:szCs w:val="24"/>
        </w:rPr>
        <w:t>Brasileira</w:t>
      </w:r>
      <w:proofErr w:type="spellEnd"/>
      <w:r w:rsidRPr="000A58DA">
        <w:rPr>
          <w:rFonts w:cs="Times New Roman"/>
          <w:i/>
          <w:szCs w:val="24"/>
        </w:rPr>
        <w:t xml:space="preserve">, Dados </w:t>
      </w:r>
      <w:proofErr w:type="spellStart"/>
      <w:r w:rsidRPr="000A58DA">
        <w:rPr>
          <w:rFonts w:cs="Times New Roman"/>
          <w:i/>
          <w:szCs w:val="24"/>
        </w:rPr>
        <w:t>Consolidados</w:t>
      </w:r>
      <w:proofErr w:type="spellEnd"/>
      <w:r w:rsidRPr="000A58DA">
        <w:rPr>
          <w:rFonts w:cs="Times New Roman"/>
          <w:i/>
          <w:szCs w:val="24"/>
        </w:rPr>
        <w:t xml:space="preserve">. </w:t>
      </w:r>
      <w:r w:rsidRPr="000A58DA">
        <w:rPr>
          <w:rFonts w:cs="Times New Roman"/>
          <w:szCs w:val="24"/>
        </w:rPr>
        <w:t>Brasília: MDIC, 2012.</w:t>
      </w:r>
    </w:p>
    <w:p w:rsidR="0001623A" w:rsidRPr="000A58DA" w:rsidRDefault="001553BA" w:rsidP="00081943">
      <w:pPr>
        <w:rPr>
          <w:rFonts w:cs="Times New Roman"/>
          <w:szCs w:val="24"/>
        </w:rPr>
      </w:pPr>
      <w:hyperlink r:id="rId22" w:history="1">
        <w:r w:rsidR="0001623A" w:rsidRPr="000A58DA">
          <w:rPr>
            <w:rStyle w:val="Hyperlink"/>
            <w:rFonts w:cs="Times New Roman"/>
            <w:szCs w:val="24"/>
          </w:rPr>
          <w:t>http://www.desenvolvimento.gov.br/sitio/interna/interna.php?area=5&amp;menu=571</w:t>
        </w:r>
      </w:hyperlink>
    </w:p>
    <w:p w:rsidR="0001623A" w:rsidRPr="000A58DA" w:rsidRDefault="0001623A" w:rsidP="00081943">
      <w:pPr>
        <w:rPr>
          <w:rFonts w:cs="Times New Roman"/>
          <w:szCs w:val="24"/>
        </w:rPr>
      </w:pPr>
    </w:p>
    <w:p w:rsidR="0001623A" w:rsidRPr="000A58DA" w:rsidRDefault="0001623A" w:rsidP="00081943">
      <w:pPr>
        <w:rPr>
          <w:rFonts w:cs="Times New Roman"/>
          <w:b/>
          <w:szCs w:val="24"/>
        </w:rPr>
      </w:pPr>
    </w:p>
    <w:p w:rsidR="00D558B5" w:rsidRPr="000A58DA" w:rsidRDefault="00D558B5" w:rsidP="00081943">
      <w:pPr>
        <w:rPr>
          <w:rFonts w:cs="Times New Roman"/>
          <w:szCs w:val="24"/>
        </w:rPr>
      </w:pPr>
    </w:p>
    <w:p w:rsidR="00F01420" w:rsidRPr="000A58DA" w:rsidRDefault="00F01420" w:rsidP="00081943">
      <w:pPr>
        <w:rPr>
          <w:rFonts w:cs="Times New Roman"/>
          <w:b/>
          <w:szCs w:val="24"/>
        </w:rPr>
      </w:pPr>
    </w:p>
    <w:sectPr w:rsidR="00F01420" w:rsidRPr="000A58DA" w:rsidSect="000A252E">
      <w:footerReference w:type="default" r:id="rId23"/>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BA" w:rsidRDefault="001553BA" w:rsidP="001F0117">
      <w:r>
        <w:separator/>
      </w:r>
    </w:p>
  </w:endnote>
  <w:endnote w:type="continuationSeparator" w:id="0">
    <w:p w:rsidR="001553BA" w:rsidRDefault="001553BA" w:rsidP="001F0117">
      <w:r>
        <w:continuationSeparator/>
      </w:r>
    </w:p>
  </w:endnote>
  <w:endnote w:id="1">
    <w:p w:rsidR="00081943" w:rsidRPr="00F32A5F" w:rsidRDefault="00081943" w:rsidP="00F32A5F">
      <w:pPr>
        <w:pStyle w:val="EndnoteText"/>
        <w:spacing w:line="480" w:lineRule="auto"/>
        <w:rPr>
          <w:sz w:val="24"/>
          <w:szCs w:val="24"/>
        </w:rPr>
      </w:pPr>
      <w:r w:rsidRPr="00F32A5F">
        <w:rPr>
          <w:rStyle w:val="EndnoteReference"/>
          <w:sz w:val="24"/>
          <w:szCs w:val="24"/>
        </w:rPr>
        <w:endnoteRef/>
      </w:r>
      <w:r w:rsidRPr="00F32A5F">
        <w:rPr>
          <w:sz w:val="24"/>
          <w:szCs w:val="24"/>
        </w:rPr>
        <w:t xml:space="preserve"> For further discussion of contemporary Brazilian and Latin American political economy, see </w:t>
      </w:r>
      <w:proofErr w:type="spellStart"/>
      <w:r w:rsidRPr="00F32A5F">
        <w:rPr>
          <w:sz w:val="24"/>
          <w:szCs w:val="24"/>
        </w:rPr>
        <w:t>Bresser</w:t>
      </w:r>
      <w:proofErr w:type="spellEnd"/>
      <w:r w:rsidRPr="00F32A5F">
        <w:rPr>
          <w:sz w:val="24"/>
          <w:szCs w:val="24"/>
        </w:rPr>
        <w:t xml:space="preserve">-Pereira 2009, </w:t>
      </w:r>
      <w:proofErr w:type="spellStart"/>
      <w:r w:rsidRPr="00F32A5F">
        <w:rPr>
          <w:sz w:val="24"/>
          <w:szCs w:val="24"/>
        </w:rPr>
        <w:t>Castelo</w:t>
      </w:r>
      <w:proofErr w:type="spellEnd"/>
      <w:r w:rsidRPr="00F32A5F">
        <w:rPr>
          <w:sz w:val="24"/>
          <w:szCs w:val="24"/>
        </w:rPr>
        <w:t xml:space="preserve"> 2012, </w:t>
      </w:r>
      <w:proofErr w:type="spellStart"/>
      <w:r w:rsidRPr="00F32A5F">
        <w:rPr>
          <w:sz w:val="24"/>
          <w:szCs w:val="24"/>
        </w:rPr>
        <w:t>Zanetta</w:t>
      </w:r>
      <w:proofErr w:type="spellEnd"/>
      <w:r w:rsidRPr="00F32A5F">
        <w:rPr>
          <w:sz w:val="24"/>
          <w:szCs w:val="24"/>
        </w:rPr>
        <w:t xml:space="preserve"> 2012, Ban 2013, and </w:t>
      </w:r>
      <w:proofErr w:type="spellStart"/>
      <w:r w:rsidRPr="00F32A5F">
        <w:rPr>
          <w:sz w:val="24"/>
          <w:szCs w:val="24"/>
        </w:rPr>
        <w:t>Kingstone</w:t>
      </w:r>
      <w:proofErr w:type="spellEnd"/>
      <w:r w:rsidRPr="00F32A5F">
        <w:rPr>
          <w:sz w:val="24"/>
          <w:szCs w:val="24"/>
        </w:rPr>
        <w:t xml:space="preserve"> 2011.</w:t>
      </w:r>
    </w:p>
  </w:endnote>
  <w:endnote w:id="2">
    <w:p w:rsidR="00081943" w:rsidRPr="00F32A5F" w:rsidRDefault="00081943" w:rsidP="00F32A5F">
      <w:pPr>
        <w:pStyle w:val="EndnoteText"/>
        <w:spacing w:line="480" w:lineRule="auto"/>
        <w:rPr>
          <w:sz w:val="24"/>
          <w:szCs w:val="24"/>
        </w:rPr>
      </w:pPr>
      <w:r w:rsidRPr="00F32A5F">
        <w:rPr>
          <w:rStyle w:val="EndnoteReference"/>
          <w:sz w:val="24"/>
          <w:szCs w:val="24"/>
        </w:rPr>
        <w:endnoteRef/>
      </w:r>
      <w:r w:rsidRPr="00F32A5F">
        <w:rPr>
          <w:sz w:val="24"/>
          <w:szCs w:val="24"/>
        </w:rPr>
        <w:t xml:space="preserve"> For other analyses of the contemporary political economy of the BNDES see Von </w:t>
      </w:r>
      <w:proofErr w:type="spellStart"/>
      <w:r w:rsidRPr="00F32A5F">
        <w:rPr>
          <w:sz w:val="24"/>
          <w:szCs w:val="24"/>
        </w:rPr>
        <w:t>Mettenheim</w:t>
      </w:r>
      <w:proofErr w:type="spellEnd"/>
      <w:r w:rsidRPr="00F32A5F">
        <w:rPr>
          <w:sz w:val="24"/>
          <w:szCs w:val="24"/>
        </w:rPr>
        <w:t xml:space="preserve"> 2010; Hochstetler and Montero 2013; Doctor 2013.</w:t>
      </w:r>
    </w:p>
  </w:endnote>
  <w:endnote w:id="3">
    <w:p w:rsidR="00081943" w:rsidRPr="00F32A5F" w:rsidRDefault="00081943" w:rsidP="001A4C9E">
      <w:pPr>
        <w:pStyle w:val="EndnoteText"/>
        <w:spacing w:line="480" w:lineRule="auto"/>
        <w:rPr>
          <w:sz w:val="24"/>
          <w:szCs w:val="24"/>
        </w:rPr>
      </w:pPr>
      <w:r w:rsidRPr="00F32A5F">
        <w:rPr>
          <w:rStyle w:val="EndnoteReference"/>
          <w:sz w:val="24"/>
          <w:szCs w:val="24"/>
        </w:rPr>
        <w:endnoteRef/>
      </w:r>
      <w:r w:rsidRPr="00F32A5F">
        <w:rPr>
          <w:sz w:val="24"/>
          <w:szCs w:val="24"/>
        </w:rPr>
        <w:t xml:space="preserve"> Data in this paragraph have been drawn from BCB 2009: Tables II.18 and II.19; BNDES 2011: 48; BNDES 2012: 43;  BNDES 2013.</w:t>
      </w:r>
    </w:p>
  </w:endnote>
  <w:endnote w:id="4">
    <w:p w:rsidR="001A4C9E" w:rsidRPr="001A4C9E" w:rsidRDefault="001A4C9E" w:rsidP="001A4C9E">
      <w:pPr>
        <w:pStyle w:val="EndnoteText"/>
        <w:spacing w:line="480" w:lineRule="auto"/>
        <w:rPr>
          <w:sz w:val="24"/>
          <w:szCs w:val="24"/>
        </w:rPr>
      </w:pPr>
      <w:r w:rsidRPr="001A4C9E">
        <w:rPr>
          <w:rStyle w:val="EndnoteReference"/>
          <w:sz w:val="24"/>
          <w:szCs w:val="24"/>
        </w:rPr>
        <w:endnoteRef/>
      </w:r>
      <w:r w:rsidRPr="001A4C9E">
        <w:rPr>
          <w:sz w:val="24"/>
          <w:szCs w:val="24"/>
        </w:rPr>
        <w:t xml:space="preserve"> On the central bank regulatory dilemma in Brazil, see Sola and Whitehead, eds. (2005).</w:t>
      </w:r>
    </w:p>
  </w:endnote>
  <w:endnote w:id="5">
    <w:p w:rsidR="00081943" w:rsidRPr="00F32A5F" w:rsidRDefault="00081943" w:rsidP="001A4C9E">
      <w:pPr>
        <w:pStyle w:val="EndnoteText"/>
        <w:spacing w:line="480" w:lineRule="auto"/>
        <w:rPr>
          <w:sz w:val="24"/>
          <w:szCs w:val="24"/>
        </w:rPr>
      </w:pPr>
      <w:r w:rsidRPr="00F32A5F">
        <w:rPr>
          <w:rStyle w:val="EndnoteReference"/>
          <w:sz w:val="24"/>
          <w:szCs w:val="24"/>
        </w:rPr>
        <w:endnoteRef/>
      </w:r>
      <w:r w:rsidRPr="00F32A5F">
        <w:rPr>
          <w:sz w:val="24"/>
          <w:szCs w:val="24"/>
        </w:rPr>
        <w:t xml:space="preserve"> For BNDES’ history, see Willis (2013), Armijo (1993, 1997), BNDES (2002a), von </w:t>
      </w:r>
      <w:proofErr w:type="spellStart"/>
      <w:r w:rsidRPr="00F32A5F">
        <w:rPr>
          <w:sz w:val="24"/>
          <w:szCs w:val="24"/>
        </w:rPr>
        <w:t>Mettenheim</w:t>
      </w:r>
      <w:proofErr w:type="spellEnd"/>
      <w:r w:rsidRPr="00F32A5F">
        <w:rPr>
          <w:sz w:val="24"/>
          <w:szCs w:val="24"/>
        </w:rPr>
        <w:t xml:space="preserve"> (2010), and Doctor (2013).</w:t>
      </w:r>
    </w:p>
  </w:endnote>
  <w:endnote w:id="6">
    <w:p w:rsidR="00081943" w:rsidRPr="00F32A5F" w:rsidRDefault="00081943" w:rsidP="00F32A5F">
      <w:pPr>
        <w:pStyle w:val="EndnoteText"/>
        <w:spacing w:line="480" w:lineRule="auto"/>
        <w:rPr>
          <w:sz w:val="24"/>
          <w:szCs w:val="24"/>
        </w:rPr>
      </w:pPr>
      <w:r w:rsidRPr="00F32A5F">
        <w:rPr>
          <w:rStyle w:val="EndnoteReference"/>
          <w:sz w:val="24"/>
          <w:szCs w:val="24"/>
        </w:rPr>
        <w:endnoteRef/>
      </w:r>
      <w:r w:rsidRPr="00F32A5F">
        <w:rPr>
          <w:sz w:val="24"/>
          <w:szCs w:val="24"/>
        </w:rPr>
        <w:t xml:space="preserve"> Rossi and Prates (2009: 24) concluded that the share of total financing from the BNDES system that was export-related was fully 33 percent in 2003, but had fallen to only 13 percent of disbursements in 2008. Other sources show smaller shares.</w:t>
      </w:r>
    </w:p>
  </w:endnote>
  <w:endnote w:id="7">
    <w:p w:rsidR="00081943" w:rsidRPr="00F32A5F" w:rsidRDefault="00081943" w:rsidP="00F32A5F">
      <w:pPr>
        <w:pStyle w:val="EndnoteText"/>
        <w:spacing w:line="480" w:lineRule="auto"/>
        <w:rPr>
          <w:sz w:val="24"/>
          <w:szCs w:val="24"/>
        </w:rPr>
      </w:pPr>
      <w:r w:rsidRPr="00F32A5F">
        <w:rPr>
          <w:rStyle w:val="EndnoteReference"/>
          <w:sz w:val="24"/>
          <w:szCs w:val="24"/>
        </w:rPr>
        <w:endnoteRef/>
      </w:r>
      <w:r w:rsidRPr="00F32A5F">
        <w:rPr>
          <w:sz w:val="24"/>
          <w:szCs w:val="24"/>
        </w:rPr>
        <w:t xml:space="preserve"> Brazilian government officials, sensitive to the charge of Brazilian neo-imperialism in South America, are coy about the origins of the IIRSA. Knowledgeable interviewees at the IADB and among former government economists confirmed that much of the political impetus and technical expertise for the program came from Brazil, especially the BNDES.</w:t>
      </w:r>
    </w:p>
  </w:endnote>
  <w:endnote w:id="8">
    <w:p w:rsidR="00081943" w:rsidRPr="00F32A5F" w:rsidRDefault="00081943" w:rsidP="00F32A5F">
      <w:pPr>
        <w:pStyle w:val="EndnoteText"/>
        <w:spacing w:line="480" w:lineRule="auto"/>
        <w:rPr>
          <w:sz w:val="24"/>
          <w:szCs w:val="24"/>
        </w:rPr>
      </w:pPr>
      <w:r w:rsidRPr="00F32A5F">
        <w:rPr>
          <w:rStyle w:val="EndnoteReference"/>
          <w:sz w:val="24"/>
          <w:szCs w:val="24"/>
        </w:rPr>
        <w:endnoteRef/>
      </w:r>
      <w:r w:rsidRPr="00F32A5F">
        <w:rPr>
          <w:sz w:val="24"/>
          <w:szCs w:val="24"/>
        </w:rPr>
        <w:t xml:space="preserve"> It is true that long-term rates legitimately may be lower than short-term ones. However, given the magnitude of these gaps in Brazil, the general points still hold.</w:t>
      </w:r>
    </w:p>
  </w:endnote>
  <w:endnote w:id="9">
    <w:p w:rsidR="00081943" w:rsidRPr="00F32A5F" w:rsidRDefault="00081943" w:rsidP="00F32A5F">
      <w:pPr>
        <w:pStyle w:val="EndnoteText"/>
        <w:spacing w:line="480" w:lineRule="auto"/>
        <w:rPr>
          <w:sz w:val="24"/>
          <w:szCs w:val="24"/>
        </w:rPr>
      </w:pPr>
      <w:r w:rsidRPr="00F32A5F">
        <w:rPr>
          <w:rStyle w:val="EndnoteReference"/>
          <w:sz w:val="24"/>
          <w:szCs w:val="24"/>
        </w:rPr>
        <w:endnoteRef/>
      </w:r>
      <w:r w:rsidRPr="00F32A5F">
        <w:rPr>
          <w:sz w:val="24"/>
          <w:szCs w:val="24"/>
        </w:rPr>
        <w:t xml:space="preserve"> Another reason that Brazilian interest rates remain stubbornly high is that commercial banks get so little of their funding from the free market (since they also access on-loaned BNDES funds, which are at the below-market TJLP rate). Brazil’s Central Bank must therefore raise rates quite high in order to get an impact on the volume of credit.</w:t>
      </w:r>
    </w:p>
  </w:endnote>
  <w:endnote w:id="10">
    <w:p w:rsidR="00081943" w:rsidRPr="00F32A5F" w:rsidRDefault="00081943" w:rsidP="00F32A5F">
      <w:pPr>
        <w:pStyle w:val="EndnoteText"/>
        <w:spacing w:line="480" w:lineRule="auto"/>
        <w:rPr>
          <w:sz w:val="24"/>
          <w:szCs w:val="24"/>
        </w:rPr>
      </w:pPr>
      <w:r w:rsidRPr="00F32A5F">
        <w:rPr>
          <w:rStyle w:val="EndnoteReference"/>
          <w:sz w:val="24"/>
          <w:szCs w:val="24"/>
        </w:rPr>
        <w:endnoteRef/>
      </w:r>
      <w:r w:rsidRPr="00F32A5F">
        <w:rPr>
          <w:sz w:val="24"/>
          <w:szCs w:val="24"/>
        </w:rPr>
        <w:t xml:space="preserve"> See, for example, www.plataformabndes.org.br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43121"/>
      <w:docPartObj>
        <w:docPartGallery w:val="Page Numbers (Bottom of Page)"/>
        <w:docPartUnique/>
      </w:docPartObj>
    </w:sdtPr>
    <w:sdtEndPr>
      <w:rPr>
        <w:noProof/>
      </w:rPr>
    </w:sdtEndPr>
    <w:sdtContent>
      <w:p w:rsidR="002E3338" w:rsidRDefault="002E3338">
        <w:pPr>
          <w:pStyle w:val="Footer"/>
          <w:jc w:val="center"/>
        </w:pPr>
        <w:r>
          <w:fldChar w:fldCharType="begin"/>
        </w:r>
        <w:r>
          <w:instrText xml:space="preserve"> PAGE   \* MERGEFORMAT </w:instrText>
        </w:r>
        <w:r>
          <w:fldChar w:fldCharType="separate"/>
        </w:r>
        <w:r w:rsidR="00CA72CE">
          <w:rPr>
            <w:noProof/>
          </w:rPr>
          <w:t>1</w:t>
        </w:r>
        <w:r>
          <w:rPr>
            <w:noProof/>
          </w:rPr>
          <w:fldChar w:fldCharType="end"/>
        </w:r>
      </w:p>
    </w:sdtContent>
  </w:sdt>
  <w:p w:rsidR="002E3338" w:rsidRDefault="002E3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920339"/>
      <w:docPartObj>
        <w:docPartGallery w:val="Page Numbers (Bottom of Page)"/>
        <w:docPartUnique/>
      </w:docPartObj>
    </w:sdtPr>
    <w:sdtEndPr>
      <w:rPr>
        <w:noProof/>
      </w:rPr>
    </w:sdtEndPr>
    <w:sdtContent>
      <w:p w:rsidR="002E3338" w:rsidRDefault="002E3338">
        <w:pPr>
          <w:pStyle w:val="Footer"/>
          <w:jc w:val="center"/>
        </w:pPr>
        <w:r>
          <w:fldChar w:fldCharType="begin"/>
        </w:r>
        <w:r>
          <w:instrText xml:space="preserve"> PAGE   \* MERGEFORMAT </w:instrText>
        </w:r>
        <w:r>
          <w:fldChar w:fldCharType="separate"/>
        </w:r>
        <w:r w:rsidR="00CA72CE">
          <w:rPr>
            <w:noProof/>
          </w:rPr>
          <w:t>29</w:t>
        </w:r>
        <w:r>
          <w:rPr>
            <w:noProof/>
          </w:rPr>
          <w:fldChar w:fldCharType="end"/>
        </w:r>
      </w:p>
    </w:sdtContent>
  </w:sdt>
  <w:p w:rsidR="002E3338" w:rsidRDefault="002E3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BA" w:rsidRDefault="001553BA" w:rsidP="001F0117">
      <w:r>
        <w:separator/>
      </w:r>
    </w:p>
  </w:footnote>
  <w:footnote w:type="continuationSeparator" w:id="0">
    <w:p w:rsidR="001553BA" w:rsidRDefault="001553BA" w:rsidP="001F0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330A6"/>
    <w:multiLevelType w:val="hybridMultilevel"/>
    <w:tmpl w:val="0EC033F8"/>
    <w:lvl w:ilvl="0" w:tplc="0656802A">
      <w:start w:val="1"/>
      <w:numFmt w:val="bullet"/>
      <w:lvlText w:val="•"/>
      <w:lvlJc w:val="left"/>
      <w:pPr>
        <w:tabs>
          <w:tab w:val="num" w:pos="720"/>
        </w:tabs>
        <w:ind w:left="720" w:hanging="360"/>
      </w:pPr>
      <w:rPr>
        <w:rFonts w:ascii="Arial" w:hAnsi="Arial" w:hint="default"/>
      </w:rPr>
    </w:lvl>
    <w:lvl w:ilvl="1" w:tplc="6C2A0DA0" w:tentative="1">
      <w:start w:val="1"/>
      <w:numFmt w:val="bullet"/>
      <w:lvlText w:val="•"/>
      <w:lvlJc w:val="left"/>
      <w:pPr>
        <w:tabs>
          <w:tab w:val="num" w:pos="1440"/>
        </w:tabs>
        <w:ind w:left="1440" w:hanging="360"/>
      </w:pPr>
      <w:rPr>
        <w:rFonts w:ascii="Arial" w:hAnsi="Arial" w:hint="default"/>
      </w:rPr>
    </w:lvl>
    <w:lvl w:ilvl="2" w:tplc="0AFE0368" w:tentative="1">
      <w:start w:val="1"/>
      <w:numFmt w:val="bullet"/>
      <w:lvlText w:val="•"/>
      <w:lvlJc w:val="left"/>
      <w:pPr>
        <w:tabs>
          <w:tab w:val="num" w:pos="2160"/>
        </w:tabs>
        <w:ind w:left="2160" w:hanging="360"/>
      </w:pPr>
      <w:rPr>
        <w:rFonts w:ascii="Arial" w:hAnsi="Arial" w:hint="default"/>
      </w:rPr>
    </w:lvl>
    <w:lvl w:ilvl="3" w:tplc="1CA66858" w:tentative="1">
      <w:start w:val="1"/>
      <w:numFmt w:val="bullet"/>
      <w:lvlText w:val="•"/>
      <w:lvlJc w:val="left"/>
      <w:pPr>
        <w:tabs>
          <w:tab w:val="num" w:pos="2880"/>
        </w:tabs>
        <w:ind w:left="2880" w:hanging="360"/>
      </w:pPr>
      <w:rPr>
        <w:rFonts w:ascii="Arial" w:hAnsi="Arial" w:hint="default"/>
      </w:rPr>
    </w:lvl>
    <w:lvl w:ilvl="4" w:tplc="7AC8ED98" w:tentative="1">
      <w:start w:val="1"/>
      <w:numFmt w:val="bullet"/>
      <w:lvlText w:val="•"/>
      <w:lvlJc w:val="left"/>
      <w:pPr>
        <w:tabs>
          <w:tab w:val="num" w:pos="3600"/>
        </w:tabs>
        <w:ind w:left="3600" w:hanging="360"/>
      </w:pPr>
      <w:rPr>
        <w:rFonts w:ascii="Arial" w:hAnsi="Arial" w:hint="default"/>
      </w:rPr>
    </w:lvl>
    <w:lvl w:ilvl="5" w:tplc="758E6888" w:tentative="1">
      <w:start w:val="1"/>
      <w:numFmt w:val="bullet"/>
      <w:lvlText w:val="•"/>
      <w:lvlJc w:val="left"/>
      <w:pPr>
        <w:tabs>
          <w:tab w:val="num" w:pos="4320"/>
        </w:tabs>
        <w:ind w:left="4320" w:hanging="360"/>
      </w:pPr>
      <w:rPr>
        <w:rFonts w:ascii="Arial" w:hAnsi="Arial" w:hint="default"/>
      </w:rPr>
    </w:lvl>
    <w:lvl w:ilvl="6" w:tplc="970AE382" w:tentative="1">
      <w:start w:val="1"/>
      <w:numFmt w:val="bullet"/>
      <w:lvlText w:val="•"/>
      <w:lvlJc w:val="left"/>
      <w:pPr>
        <w:tabs>
          <w:tab w:val="num" w:pos="5040"/>
        </w:tabs>
        <w:ind w:left="5040" w:hanging="360"/>
      </w:pPr>
      <w:rPr>
        <w:rFonts w:ascii="Arial" w:hAnsi="Arial" w:hint="default"/>
      </w:rPr>
    </w:lvl>
    <w:lvl w:ilvl="7" w:tplc="9B7A3526" w:tentative="1">
      <w:start w:val="1"/>
      <w:numFmt w:val="bullet"/>
      <w:lvlText w:val="•"/>
      <w:lvlJc w:val="left"/>
      <w:pPr>
        <w:tabs>
          <w:tab w:val="num" w:pos="5760"/>
        </w:tabs>
        <w:ind w:left="5760" w:hanging="360"/>
      </w:pPr>
      <w:rPr>
        <w:rFonts w:ascii="Arial" w:hAnsi="Arial" w:hint="default"/>
      </w:rPr>
    </w:lvl>
    <w:lvl w:ilvl="8" w:tplc="5F54B71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A9"/>
    <w:rsid w:val="000033F5"/>
    <w:rsid w:val="00007806"/>
    <w:rsid w:val="000129B9"/>
    <w:rsid w:val="000161C8"/>
    <w:rsid w:val="0001623A"/>
    <w:rsid w:val="00017517"/>
    <w:rsid w:val="00022C75"/>
    <w:rsid w:val="00024568"/>
    <w:rsid w:val="00024CD1"/>
    <w:rsid w:val="000266DB"/>
    <w:rsid w:val="00035091"/>
    <w:rsid w:val="00037ECF"/>
    <w:rsid w:val="000400B4"/>
    <w:rsid w:val="000403CF"/>
    <w:rsid w:val="000444D4"/>
    <w:rsid w:val="000572A5"/>
    <w:rsid w:val="00061185"/>
    <w:rsid w:val="00064D91"/>
    <w:rsid w:val="00064FD3"/>
    <w:rsid w:val="000664F6"/>
    <w:rsid w:val="000740DC"/>
    <w:rsid w:val="00076B94"/>
    <w:rsid w:val="00081943"/>
    <w:rsid w:val="00082AB0"/>
    <w:rsid w:val="00083384"/>
    <w:rsid w:val="00084FD4"/>
    <w:rsid w:val="00090194"/>
    <w:rsid w:val="000929A5"/>
    <w:rsid w:val="00092CC8"/>
    <w:rsid w:val="000937C8"/>
    <w:rsid w:val="000A252E"/>
    <w:rsid w:val="000A293B"/>
    <w:rsid w:val="000A58DA"/>
    <w:rsid w:val="000B489C"/>
    <w:rsid w:val="000C3315"/>
    <w:rsid w:val="000C59E5"/>
    <w:rsid w:val="000C65E6"/>
    <w:rsid w:val="000C6EA5"/>
    <w:rsid w:val="000D0F9D"/>
    <w:rsid w:val="000D1C33"/>
    <w:rsid w:val="000D72F9"/>
    <w:rsid w:val="000E389F"/>
    <w:rsid w:val="000F0272"/>
    <w:rsid w:val="000F0D08"/>
    <w:rsid w:val="000F779C"/>
    <w:rsid w:val="001046EE"/>
    <w:rsid w:val="001059E7"/>
    <w:rsid w:val="001104B0"/>
    <w:rsid w:val="00115222"/>
    <w:rsid w:val="00121969"/>
    <w:rsid w:val="001256C7"/>
    <w:rsid w:val="001432DD"/>
    <w:rsid w:val="001505B9"/>
    <w:rsid w:val="00151BCF"/>
    <w:rsid w:val="00152CBD"/>
    <w:rsid w:val="00154F08"/>
    <w:rsid w:val="001553BA"/>
    <w:rsid w:val="001612EB"/>
    <w:rsid w:val="001631C4"/>
    <w:rsid w:val="001721A9"/>
    <w:rsid w:val="001775B9"/>
    <w:rsid w:val="001849BE"/>
    <w:rsid w:val="001902BE"/>
    <w:rsid w:val="00196A4A"/>
    <w:rsid w:val="001A0AE4"/>
    <w:rsid w:val="001A108A"/>
    <w:rsid w:val="001A4C9E"/>
    <w:rsid w:val="001B1887"/>
    <w:rsid w:val="001B3784"/>
    <w:rsid w:val="001B6746"/>
    <w:rsid w:val="001D1F3D"/>
    <w:rsid w:val="001D4D8D"/>
    <w:rsid w:val="001D5CE5"/>
    <w:rsid w:val="001E2941"/>
    <w:rsid w:val="001F0117"/>
    <w:rsid w:val="001F5C2D"/>
    <w:rsid w:val="001F6473"/>
    <w:rsid w:val="00215575"/>
    <w:rsid w:val="0021665F"/>
    <w:rsid w:val="00222A27"/>
    <w:rsid w:val="002232B3"/>
    <w:rsid w:val="00226722"/>
    <w:rsid w:val="00241FE4"/>
    <w:rsid w:val="00246060"/>
    <w:rsid w:val="00251689"/>
    <w:rsid w:val="0025781B"/>
    <w:rsid w:val="0026025D"/>
    <w:rsid w:val="00263C24"/>
    <w:rsid w:val="0026514A"/>
    <w:rsid w:val="002651B0"/>
    <w:rsid w:val="0027438F"/>
    <w:rsid w:val="002771C2"/>
    <w:rsid w:val="00281660"/>
    <w:rsid w:val="00281EEA"/>
    <w:rsid w:val="00290518"/>
    <w:rsid w:val="00293A77"/>
    <w:rsid w:val="0029560E"/>
    <w:rsid w:val="002A04B1"/>
    <w:rsid w:val="002A07E2"/>
    <w:rsid w:val="002A6EC0"/>
    <w:rsid w:val="002B00A4"/>
    <w:rsid w:val="002B437C"/>
    <w:rsid w:val="002B6791"/>
    <w:rsid w:val="002C16A4"/>
    <w:rsid w:val="002C1758"/>
    <w:rsid w:val="002C77E8"/>
    <w:rsid w:val="002D7EBD"/>
    <w:rsid w:val="002E3338"/>
    <w:rsid w:val="002E5D77"/>
    <w:rsid w:val="002F553B"/>
    <w:rsid w:val="002F5742"/>
    <w:rsid w:val="0030198B"/>
    <w:rsid w:val="00302E3A"/>
    <w:rsid w:val="00304432"/>
    <w:rsid w:val="003072AB"/>
    <w:rsid w:val="003078F5"/>
    <w:rsid w:val="00313C02"/>
    <w:rsid w:val="00324CB7"/>
    <w:rsid w:val="00324E6D"/>
    <w:rsid w:val="00337C7E"/>
    <w:rsid w:val="00344492"/>
    <w:rsid w:val="00351991"/>
    <w:rsid w:val="0035264B"/>
    <w:rsid w:val="0035564F"/>
    <w:rsid w:val="00365B3F"/>
    <w:rsid w:val="00371A65"/>
    <w:rsid w:val="00373DD2"/>
    <w:rsid w:val="003753E2"/>
    <w:rsid w:val="003772D1"/>
    <w:rsid w:val="00380273"/>
    <w:rsid w:val="00382942"/>
    <w:rsid w:val="00391939"/>
    <w:rsid w:val="00395FF3"/>
    <w:rsid w:val="003A1530"/>
    <w:rsid w:val="003A2932"/>
    <w:rsid w:val="003A3020"/>
    <w:rsid w:val="003B12BD"/>
    <w:rsid w:val="003C29E5"/>
    <w:rsid w:val="003C2A45"/>
    <w:rsid w:val="003D003B"/>
    <w:rsid w:val="003D093E"/>
    <w:rsid w:val="003D4092"/>
    <w:rsid w:val="003E412E"/>
    <w:rsid w:val="003E743E"/>
    <w:rsid w:val="003E75E1"/>
    <w:rsid w:val="003F1A29"/>
    <w:rsid w:val="003F4BA7"/>
    <w:rsid w:val="004000C0"/>
    <w:rsid w:val="00402F15"/>
    <w:rsid w:val="00403133"/>
    <w:rsid w:val="0040472A"/>
    <w:rsid w:val="00406417"/>
    <w:rsid w:val="004213FE"/>
    <w:rsid w:val="00421C47"/>
    <w:rsid w:val="004230CB"/>
    <w:rsid w:val="004231F9"/>
    <w:rsid w:val="00423B6E"/>
    <w:rsid w:val="00426BC8"/>
    <w:rsid w:val="00455ED2"/>
    <w:rsid w:val="004571D2"/>
    <w:rsid w:val="00464273"/>
    <w:rsid w:val="00465FE7"/>
    <w:rsid w:val="0046622E"/>
    <w:rsid w:val="00467339"/>
    <w:rsid w:val="00470579"/>
    <w:rsid w:val="0047392A"/>
    <w:rsid w:val="00475E2B"/>
    <w:rsid w:val="00477560"/>
    <w:rsid w:val="00484C77"/>
    <w:rsid w:val="004929EC"/>
    <w:rsid w:val="004A4486"/>
    <w:rsid w:val="004A7216"/>
    <w:rsid w:val="004A7736"/>
    <w:rsid w:val="004B2E8D"/>
    <w:rsid w:val="004C0274"/>
    <w:rsid w:val="004D23AE"/>
    <w:rsid w:val="004D311D"/>
    <w:rsid w:val="004D415F"/>
    <w:rsid w:val="004E3B4C"/>
    <w:rsid w:val="004E626A"/>
    <w:rsid w:val="004E6468"/>
    <w:rsid w:val="004F6A1A"/>
    <w:rsid w:val="00501029"/>
    <w:rsid w:val="005028A7"/>
    <w:rsid w:val="00507DF2"/>
    <w:rsid w:val="005105E9"/>
    <w:rsid w:val="00520452"/>
    <w:rsid w:val="00522150"/>
    <w:rsid w:val="00524C3C"/>
    <w:rsid w:val="00526C17"/>
    <w:rsid w:val="005333C5"/>
    <w:rsid w:val="005347E0"/>
    <w:rsid w:val="005541A5"/>
    <w:rsid w:val="00554631"/>
    <w:rsid w:val="00555D83"/>
    <w:rsid w:val="005567D9"/>
    <w:rsid w:val="005613DC"/>
    <w:rsid w:val="005718E7"/>
    <w:rsid w:val="005749BA"/>
    <w:rsid w:val="0058166B"/>
    <w:rsid w:val="00584B8A"/>
    <w:rsid w:val="005852EB"/>
    <w:rsid w:val="005873FA"/>
    <w:rsid w:val="00590C91"/>
    <w:rsid w:val="005A7B9A"/>
    <w:rsid w:val="005B57E6"/>
    <w:rsid w:val="005C5DD5"/>
    <w:rsid w:val="005D2C6E"/>
    <w:rsid w:val="005D2D81"/>
    <w:rsid w:val="005D4297"/>
    <w:rsid w:val="005E2A8E"/>
    <w:rsid w:val="005E3E06"/>
    <w:rsid w:val="005F0406"/>
    <w:rsid w:val="005F0BF3"/>
    <w:rsid w:val="005F5527"/>
    <w:rsid w:val="005F7A3E"/>
    <w:rsid w:val="00602A5D"/>
    <w:rsid w:val="00604B17"/>
    <w:rsid w:val="00606D4D"/>
    <w:rsid w:val="00612949"/>
    <w:rsid w:val="00625B3C"/>
    <w:rsid w:val="00646CD7"/>
    <w:rsid w:val="00652B03"/>
    <w:rsid w:val="0066039E"/>
    <w:rsid w:val="0066142C"/>
    <w:rsid w:val="00664F0A"/>
    <w:rsid w:val="006710F1"/>
    <w:rsid w:val="00673B0A"/>
    <w:rsid w:val="006872F2"/>
    <w:rsid w:val="0069456F"/>
    <w:rsid w:val="00697286"/>
    <w:rsid w:val="006A48B1"/>
    <w:rsid w:val="006B27D8"/>
    <w:rsid w:val="006B3206"/>
    <w:rsid w:val="006B6A53"/>
    <w:rsid w:val="006C028F"/>
    <w:rsid w:val="006C1F1D"/>
    <w:rsid w:val="006D4D42"/>
    <w:rsid w:val="006D5BA6"/>
    <w:rsid w:val="006E3989"/>
    <w:rsid w:val="006E4A3D"/>
    <w:rsid w:val="006E685B"/>
    <w:rsid w:val="006E74F6"/>
    <w:rsid w:val="006F1E0F"/>
    <w:rsid w:val="006F3759"/>
    <w:rsid w:val="006F74DE"/>
    <w:rsid w:val="007041B5"/>
    <w:rsid w:val="00706A7F"/>
    <w:rsid w:val="00716665"/>
    <w:rsid w:val="00717C84"/>
    <w:rsid w:val="007235A0"/>
    <w:rsid w:val="00730428"/>
    <w:rsid w:val="00732697"/>
    <w:rsid w:val="00732AD6"/>
    <w:rsid w:val="0075429B"/>
    <w:rsid w:val="007546A7"/>
    <w:rsid w:val="00755C45"/>
    <w:rsid w:val="00756F87"/>
    <w:rsid w:val="00766F19"/>
    <w:rsid w:val="0076723F"/>
    <w:rsid w:val="0076730A"/>
    <w:rsid w:val="00782467"/>
    <w:rsid w:val="00782E33"/>
    <w:rsid w:val="00784D8B"/>
    <w:rsid w:val="00791E7E"/>
    <w:rsid w:val="007B12E3"/>
    <w:rsid w:val="007B1B14"/>
    <w:rsid w:val="007B5E95"/>
    <w:rsid w:val="007C3029"/>
    <w:rsid w:val="007C4AEF"/>
    <w:rsid w:val="007D2860"/>
    <w:rsid w:val="007D48B1"/>
    <w:rsid w:val="007D4C74"/>
    <w:rsid w:val="007F4A3B"/>
    <w:rsid w:val="00805533"/>
    <w:rsid w:val="00812311"/>
    <w:rsid w:val="00812CD6"/>
    <w:rsid w:val="00812DC7"/>
    <w:rsid w:val="008154AE"/>
    <w:rsid w:val="00815617"/>
    <w:rsid w:val="008254C9"/>
    <w:rsid w:val="00825BB0"/>
    <w:rsid w:val="00827B3B"/>
    <w:rsid w:val="00831C5F"/>
    <w:rsid w:val="00832A48"/>
    <w:rsid w:val="008405C1"/>
    <w:rsid w:val="00840BBC"/>
    <w:rsid w:val="00842321"/>
    <w:rsid w:val="00843369"/>
    <w:rsid w:val="00843A09"/>
    <w:rsid w:val="00843ACB"/>
    <w:rsid w:val="00850737"/>
    <w:rsid w:val="00864CE3"/>
    <w:rsid w:val="0087466F"/>
    <w:rsid w:val="00875524"/>
    <w:rsid w:val="00891025"/>
    <w:rsid w:val="008922A2"/>
    <w:rsid w:val="008A0B0A"/>
    <w:rsid w:val="008A34B7"/>
    <w:rsid w:val="008A385C"/>
    <w:rsid w:val="008B29A5"/>
    <w:rsid w:val="008B5CC6"/>
    <w:rsid w:val="008B6143"/>
    <w:rsid w:val="008D7B92"/>
    <w:rsid w:val="008E2F73"/>
    <w:rsid w:val="008E5241"/>
    <w:rsid w:val="008E5D45"/>
    <w:rsid w:val="008E7120"/>
    <w:rsid w:val="008E764D"/>
    <w:rsid w:val="008E78C6"/>
    <w:rsid w:val="008F45E3"/>
    <w:rsid w:val="009063F9"/>
    <w:rsid w:val="009076EB"/>
    <w:rsid w:val="00917266"/>
    <w:rsid w:val="00923938"/>
    <w:rsid w:val="009454FE"/>
    <w:rsid w:val="0095726A"/>
    <w:rsid w:val="009626E0"/>
    <w:rsid w:val="00963A00"/>
    <w:rsid w:val="00975C14"/>
    <w:rsid w:val="00982D7D"/>
    <w:rsid w:val="00983E99"/>
    <w:rsid w:val="00986255"/>
    <w:rsid w:val="009B22E2"/>
    <w:rsid w:val="009B3332"/>
    <w:rsid w:val="009B3910"/>
    <w:rsid w:val="009B3A5E"/>
    <w:rsid w:val="009B62F4"/>
    <w:rsid w:val="009D259E"/>
    <w:rsid w:val="009D485E"/>
    <w:rsid w:val="009D74A0"/>
    <w:rsid w:val="009E2C72"/>
    <w:rsid w:val="009E6103"/>
    <w:rsid w:val="009F59DC"/>
    <w:rsid w:val="009F7B86"/>
    <w:rsid w:val="00A071A7"/>
    <w:rsid w:val="00A13313"/>
    <w:rsid w:val="00A14463"/>
    <w:rsid w:val="00A14608"/>
    <w:rsid w:val="00A16981"/>
    <w:rsid w:val="00A26E5E"/>
    <w:rsid w:val="00A30089"/>
    <w:rsid w:val="00A303D9"/>
    <w:rsid w:val="00A322BB"/>
    <w:rsid w:val="00A34D21"/>
    <w:rsid w:val="00A42E2A"/>
    <w:rsid w:val="00A47F75"/>
    <w:rsid w:val="00A57AB5"/>
    <w:rsid w:val="00A65F1B"/>
    <w:rsid w:val="00A71513"/>
    <w:rsid w:val="00A715C5"/>
    <w:rsid w:val="00A7344B"/>
    <w:rsid w:val="00A75FD2"/>
    <w:rsid w:val="00A76AAD"/>
    <w:rsid w:val="00AA7282"/>
    <w:rsid w:val="00AB4564"/>
    <w:rsid w:val="00AD24BA"/>
    <w:rsid w:val="00AD695E"/>
    <w:rsid w:val="00AE38EE"/>
    <w:rsid w:val="00B024EE"/>
    <w:rsid w:val="00B07DD5"/>
    <w:rsid w:val="00B16297"/>
    <w:rsid w:val="00B16B73"/>
    <w:rsid w:val="00B171F3"/>
    <w:rsid w:val="00B215B1"/>
    <w:rsid w:val="00B23E60"/>
    <w:rsid w:val="00B264D2"/>
    <w:rsid w:val="00B33144"/>
    <w:rsid w:val="00B40CD5"/>
    <w:rsid w:val="00B43C8B"/>
    <w:rsid w:val="00B448F3"/>
    <w:rsid w:val="00B466AB"/>
    <w:rsid w:val="00B50A63"/>
    <w:rsid w:val="00B54DFF"/>
    <w:rsid w:val="00B57843"/>
    <w:rsid w:val="00B60335"/>
    <w:rsid w:val="00B63E33"/>
    <w:rsid w:val="00B65973"/>
    <w:rsid w:val="00B70817"/>
    <w:rsid w:val="00B70DBB"/>
    <w:rsid w:val="00B807AC"/>
    <w:rsid w:val="00B85178"/>
    <w:rsid w:val="00B858EC"/>
    <w:rsid w:val="00B8590B"/>
    <w:rsid w:val="00BA07F9"/>
    <w:rsid w:val="00BA26D5"/>
    <w:rsid w:val="00BA2E18"/>
    <w:rsid w:val="00BA308D"/>
    <w:rsid w:val="00BB3025"/>
    <w:rsid w:val="00BB5FE6"/>
    <w:rsid w:val="00BC1C70"/>
    <w:rsid w:val="00BC47C2"/>
    <w:rsid w:val="00BD0994"/>
    <w:rsid w:val="00BD25F5"/>
    <w:rsid w:val="00BD4EAE"/>
    <w:rsid w:val="00BF51E1"/>
    <w:rsid w:val="00C044F4"/>
    <w:rsid w:val="00C1166D"/>
    <w:rsid w:val="00C1630F"/>
    <w:rsid w:val="00C16850"/>
    <w:rsid w:val="00C17DDE"/>
    <w:rsid w:val="00C223E9"/>
    <w:rsid w:val="00C272A9"/>
    <w:rsid w:val="00C33F7F"/>
    <w:rsid w:val="00C363CA"/>
    <w:rsid w:val="00C3782F"/>
    <w:rsid w:val="00C4519D"/>
    <w:rsid w:val="00C556FC"/>
    <w:rsid w:val="00C56B24"/>
    <w:rsid w:val="00C61237"/>
    <w:rsid w:val="00C70CAD"/>
    <w:rsid w:val="00C80426"/>
    <w:rsid w:val="00C9091D"/>
    <w:rsid w:val="00C943A9"/>
    <w:rsid w:val="00C94534"/>
    <w:rsid w:val="00CA72CE"/>
    <w:rsid w:val="00CA7C80"/>
    <w:rsid w:val="00CB1FA5"/>
    <w:rsid w:val="00CB4BC6"/>
    <w:rsid w:val="00CB6BD6"/>
    <w:rsid w:val="00CC20BC"/>
    <w:rsid w:val="00CC367B"/>
    <w:rsid w:val="00CC49C4"/>
    <w:rsid w:val="00CD0AE7"/>
    <w:rsid w:val="00CF34F6"/>
    <w:rsid w:val="00D025BA"/>
    <w:rsid w:val="00D0376B"/>
    <w:rsid w:val="00D03DE8"/>
    <w:rsid w:val="00D040E1"/>
    <w:rsid w:val="00D1111A"/>
    <w:rsid w:val="00D11F45"/>
    <w:rsid w:val="00D14950"/>
    <w:rsid w:val="00D21C43"/>
    <w:rsid w:val="00D2368B"/>
    <w:rsid w:val="00D415C5"/>
    <w:rsid w:val="00D436B7"/>
    <w:rsid w:val="00D44D3A"/>
    <w:rsid w:val="00D479DF"/>
    <w:rsid w:val="00D558B5"/>
    <w:rsid w:val="00D55F44"/>
    <w:rsid w:val="00D60F75"/>
    <w:rsid w:val="00D65739"/>
    <w:rsid w:val="00D71142"/>
    <w:rsid w:val="00D73809"/>
    <w:rsid w:val="00D75BE5"/>
    <w:rsid w:val="00D84DF4"/>
    <w:rsid w:val="00D85994"/>
    <w:rsid w:val="00D86820"/>
    <w:rsid w:val="00D906DB"/>
    <w:rsid w:val="00D91452"/>
    <w:rsid w:val="00D9309F"/>
    <w:rsid w:val="00D955C5"/>
    <w:rsid w:val="00DB1F65"/>
    <w:rsid w:val="00DC26F0"/>
    <w:rsid w:val="00DD13CC"/>
    <w:rsid w:val="00DD332D"/>
    <w:rsid w:val="00DD731F"/>
    <w:rsid w:val="00DE131A"/>
    <w:rsid w:val="00DF1637"/>
    <w:rsid w:val="00DF50B8"/>
    <w:rsid w:val="00DF58FF"/>
    <w:rsid w:val="00E01315"/>
    <w:rsid w:val="00E02151"/>
    <w:rsid w:val="00E102D6"/>
    <w:rsid w:val="00E10517"/>
    <w:rsid w:val="00E1079B"/>
    <w:rsid w:val="00E1247E"/>
    <w:rsid w:val="00E16585"/>
    <w:rsid w:val="00E167F4"/>
    <w:rsid w:val="00E24A8D"/>
    <w:rsid w:val="00E30401"/>
    <w:rsid w:val="00E326E4"/>
    <w:rsid w:val="00E329B7"/>
    <w:rsid w:val="00E363D4"/>
    <w:rsid w:val="00E41DAA"/>
    <w:rsid w:val="00E4320F"/>
    <w:rsid w:val="00E56772"/>
    <w:rsid w:val="00E625A0"/>
    <w:rsid w:val="00E65D96"/>
    <w:rsid w:val="00E70125"/>
    <w:rsid w:val="00E9148D"/>
    <w:rsid w:val="00E93532"/>
    <w:rsid w:val="00E9585C"/>
    <w:rsid w:val="00EA0CE4"/>
    <w:rsid w:val="00EA3642"/>
    <w:rsid w:val="00EB20E3"/>
    <w:rsid w:val="00EB2B3E"/>
    <w:rsid w:val="00EB45B3"/>
    <w:rsid w:val="00ED1DD1"/>
    <w:rsid w:val="00ED45E5"/>
    <w:rsid w:val="00EE0E53"/>
    <w:rsid w:val="00EE2253"/>
    <w:rsid w:val="00EE73A5"/>
    <w:rsid w:val="00F01420"/>
    <w:rsid w:val="00F0149B"/>
    <w:rsid w:val="00F04BA4"/>
    <w:rsid w:val="00F062F1"/>
    <w:rsid w:val="00F11A7E"/>
    <w:rsid w:val="00F123A2"/>
    <w:rsid w:val="00F1682B"/>
    <w:rsid w:val="00F17866"/>
    <w:rsid w:val="00F23B4F"/>
    <w:rsid w:val="00F31463"/>
    <w:rsid w:val="00F32A5F"/>
    <w:rsid w:val="00F344F7"/>
    <w:rsid w:val="00F46657"/>
    <w:rsid w:val="00F55742"/>
    <w:rsid w:val="00F73BD2"/>
    <w:rsid w:val="00F77150"/>
    <w:rsid w:val="00F87E04"/>
    <w:rsid w:val="00FA1A28"/>
    <w:rsid w:val="00FB5984"/>
    <w:rsid w:val="00FD0264"/>
    <w:rsid w:val="00FD29EF"/>
    <w:rsid w:val="00FD5FF9"/>
    <w:rsid w:val="00FE0ABD"/>
    <w:rsid w:val="00FE3369"/>
    <w:rsid w:val="00FE5BA4"/>
    <w:rsid w:val="00FE7D2C"/>
    <w:rsid w:val="00FF3E32"/>
    <w:rsid w:val="00FF412B"/>
    <w:rsid w:val="00FF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623A"/>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0162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0117"/>
    <w:pPr>
      <w:tabs>
        <w:tab w:val="center" w:pos="4680"/>
        <w:tab w:val="right" w:pos="9360"/>
      </w:tabs>
    </w:pPr>
  </w:style>
  <w:style w:type="character" w:customStyle="1" w:styleId="HeaderChar">
    <w:name w:val="Header Char"/>
    <w:basedOn w:val="DefaultParagraphFont"/>
    <w:link w:val="Header"/>
    <w:rsid w:val="001F0117"/>
  </w:style>
  <w:style w:type="paragraph" w:styleId="Footer">
    <w:name w:val="footer"/>
    <w:basedOn w:val="Normal"/>
    <w:link w:val="FooterChar"/>
    <w:uiPriority w:val="99"/>
    <w:unhideWhenUsed/>
    <w:rsid w:val="001F0117"/>
    <w:pPr>
      <w:tabs>
        <w:tab w:val="center" w:pos="4680"/>
        <w:tab w:val="right" w:pos="9360"/>
      </w:tabs>
    </w:pPr>
  </w:style>
  <w:style w:type="character" w:customStyle="1" w:styleId="FooterChar">
    <w:name w:val="Footer Char"/>
    <w:basedOn w:val="DefaultParagraphFont"/>
    <w:link w:val="Footer"/>
    <w:uiPriority w:val="99"/>
    <w:rsid w:val="001F0117"/>
  </w:style>
  <w:style w:type="paragraph" w:styleId="FootnoteText">
    <w:name w:val="footnote text"/>
    <w:basedOn w:val="Normal"/>
    <w:link w:val="FootnoteTextChar"/>
    <w:uiPriority w:val="99"/>
    <w:semiHidden/>
    <w:unhideWhenUsed/>
    <w:rsid w:val="00082AB0"/>
    <w:rPr>
      <w:sz w:val="20"/>
      <w:szCs w:val="20"/>
    </w:rPr>
  </w:style>
  <w:style w:type="character" w:customStyle="1" w:styleId="FootnoteTextChar">
    <w:name w:val="Footnote Text Char"/>
    <w:basedOn w:val="DefaultParagraphFont"/>
    <w:link w:val="FootnoteText"/>
    <w:uiPriority w:val="99"/>
    <w:semiHidden/>
    <w:rsid w:val="00082AB0"/>
    <w:rPr>
      <w:sz w:val="20"/>
      <w:szCs w:val="20"/>
    </w:rPr>
  </w:style>
  <w:style w:type="character" w:styleId="FootnoteReference">
    <w:name w:val="footnote reference"/>
    <w:basedOn w:val="DefaultParagraphFont"/>
    <w:uiPriority w:val="99"/>
    <w:semiHidden/>
    <w:unhideWhenUsed/>
    <w:rsid w:val="00082AB0"/>
    <w:rPr>
      <w:vertAlign w:val="superscript"/>
    </w:rPr>
  </w:style>
  <w:style w:type="character" w:styleId="Hyperlink">
    <w:name w:val="Hyperlink"/>
    <w:basedOn w:val="DefaultParagraphFont"/>
    <w:uiPriority w:val="99"/>
    <w:unhideWhenUsed/>
    <w:rsid w:val="00082AB0"/>
    <w:rPr>
      <w:color w:val="0000FF" w:themeColor="hyperlink"/>
      <w:u w:val="single"/>
    </w:rPr>
  </w:style>
  <w:style w:type="paragraph" w:styleId="ListParagraph">
    <w:name w:val="List Paragraph"/>
    <w:basedOn w:val="Normal"/>
    <w:uiPriority w:val="34"/>
    <w:qFormat/>
    <w:rsid w:val="006C028F"/>
    <w:pPr>
      <w:ind w:left="720"/>
      <w:contextualSpacing/>
    </w:pPr>
    <w:rPr>
      <w:rFonts w:eastAsia="Times New Roman" w:cs="Times New Roman"/>
      <w:szCs w:val="24"/>
    </w:rPr>
  </w:style>
  <w:style w:type="table" w:styleId="TableGrid">
    <w:name w:val="Table Grid"/>
    <w:basedOn w:val="TableNormal"/>
    <w:uiPriority w:val="59"/>
    <w:rsid w:val="00D23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432DD"/>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01623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162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1623A"/>
    <w:rPr>
      <w:rFonts w:ascii="Tahoma" w:hAnsi="Tahoma" w:cs="Tahoma"/>
      <w:sz w:val="16"/>
      <w:szCs w:val="16"/>
    </w:rPr>
  </w:style>
  <w:style w:type="character" w:customStyle="1" w:styleId="BalloonTextChar">
    <w:name w:val="Balloon Text Char"/>
    <w:basedOn w:val="DefaultParagraphFont"/>
    <w:link w:val="BalloonText"/>
    <w:uiPriority w:val="99"/>
    <w:semiHidden/>
    <w:rsid w:val="0001623A"/>
    <w:rPr>
      <w:rFonts w:ascii="Tahoma" w:hAnsi="Tahoma" w:cs="Tahoma"/>
      <w:sz w:val="16"/>
      <w:szCs w:val="16"/>
    </w:rPr>
  </w:style>
  <w:style w:type="paragraph" w:styleId="EndnoteText">
    <w:name w:val="endnote text"/>
    <w:basedOn w:val="Normal"/>
    <w:link w:val="EndnoteTextChar"/>
    <w:uiPriority w:val="99"/>
    <w:semiHidden/>
    <w:unhideWhenUsed/>
    <w:rsid w:val="00022C75"/>
    <w:rPr>
      <w:sz w:val="20"/>
      <w:szCs w:val="20"/>
    </w:rPr>
  </w:style>
  <w:style w:type="character" w:customStyle="1" w:styleId="EndnoteTextChar">
    <w:name w:val="Endnote Text Char"/>
    <w:basedOn w:val="DefaultParagraphFont"/>
    <w:link w:val="EndnoteText"/>
    <w:uiPriority w:val="99"/>
    <w:semiHidden/>
    <w:rsid w:val="00022C75"/>
    <w:rPr>
      <w:sz w:val="20"/>
      <w:szCs w:val="20"/>
    </w:rPr>
  </w:style>
  <w:style w:type="character" w:styleId="EndnoteReference">
    <w:name w:val="endnote reference"/>
    <w:basedOn w:val="DefaultParagraphFont"/>
    <w:uiPriority w:val="99"/>
    <w:semiHidden/>
    <w:unhideWhenUsed/>
    <w:rsid w:val="00022C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623A"/>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0162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0117"/>
    <w:pPr>
      <w:tabs>
        <w:tab w:val="center" w:pos="4680"/>
        <w:tab w:val="right" w:pos="9360"/>
      </w:tabs>
    </w:pPr>
  </w:style>
  <w:style w:type="character" w:customStyle="1" w:styleId="HeaderChar">
    <w:name w:val="Header Char"/>
    <w:basedOn w:val="DefaultParagraphFont"/>
    <w:link w:val="Header"/>
    <w:rsid w:val="001F0117"/>
  </w:style>
  <w:style w:type="paragraph" w:styleId="Footer">
    <w:name w:val="footer"/>
    <w:basedOn w:val="Normal"/>
    <w:link w:val="FooterChar"/>
    <w:uiPriority w:val="99"/>
    <w:unhideWhenUsed/>
    <w:rsid w:val="001F0117"/>
    <w:pPr>
      <w:tabs>
        <w:tab w:val="center" w:pos="4680"/>
        <w:tab w:val="right" w:pos="9360"/>
      </w:tabs>
    </w:pPr>
  </w:style>
  <w:style w:type="character" w:customStyle="1" w:styleId="FooterChar">
    <w:name w:val="Footer Char"/>
    <w:basedOn w:val="DefaultParagraphFont"/>
    <w:link w:val="Footer"/>
    <w:uiPriority w:val="99"/>
    <w:rsid w:val="001F0117"/>
  </w:style>
  <w:style w:type="paragraph" w:styleId="FootnoteText">
    <w:name w:val="footnote text"/>
    <w:basedOn w:val="Normal"/>
    <w:link w:val="FootnoteTextChar"/>
    <w:uiPriority w:val="99"/>
    <w:semiHidden/>
    <w:unhideWhenUsed/>
    <w:rsid w:val="00082AB0"/>
    <w:rPr>
      <w:sz w:val="20"/>
      <w:szCs w:val="20"/>
    </w:rPr>
  </w:style>
  <w:style w:type="character" w:customStyle="1" w:styleId="FootnoteTextChar">
    <w:name w:val="Footnote Text Char"/>
    <w:basedOn w:val="DefaultParagraphFont"/>
    <w:link w:val="FootnoteText"/>
    <w:uiPriority w:val="99"/>
    <w:semiHidden/>
    <w:rsid w:val="00082AB0"/>
    <w:rPr>
      <w:sz w:val="20"/>
      <w:szCs w:val="20"/>
    </w:rPr>
  </w:style>
  <w:style w:type="character" w:styleId="FootnoteReference">
    <w:name w:val="footnote reference"/>
    <w:basedOn w:val="DefaultParagraphFont"/>
    <w:uiPriority w:val="99"/>
    <w:semiHidden/>
    <w:unhideWhenUsed/>
    <w:rsid w:val="00082AB0"/>
    <w:rPr>
      <w:vertAlign w:val="superscript"/>
    </w:rPr>
  </w:style>
  <w:style w:type="character" w:styleId="Hyperlink">
    <w:name w:val="Hyperlink"/>
    <w:basedOn w:val="DefaultParagraphFont"/>
    <w:uiPriority w:val="99"/>
    <w:unhideWhenUsed/>
    <w:rsid w:val="00082AB0"/>
    <w:rPr>
      <w:color w:val="0000FF" w:themeColor="hyperlink"/>
      <w:u w:val="single"/>
    </w:rPr>
  </w:style>
  <w:style w:type="paragraph" w:styleId="ListParagraph">
    <w:name w:val="List Paragraph"/>
    <w:basedOn w:val="Normal"/>
    <w:uiPriority w:val="34"/>
    <w:qFormat/>
    <w:rsid w:val="006C028F"/>
    <w:pPr>
      <w:ind w:left="720"/>
      <w:contextualSpacing/>
    </w:pPr>
    <w:rPr>
      <w:rFonts w:eastAsia="Times New Roman" w:cs="Times New Roman"/>
      <w:szCs w:val="24"/>
    </w:rPr>
  </w:style>
  <w:style w:type="table" w:styleId="TableGrid">
    <w:name w:val="Table Grid"/>
    <w:basedOn w:val="TableNormal"/>
    <w:uiPriority w:val="59"/>
    <w:rsid w:val="00D23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432DD"/>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01623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1623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1623A"/>
    <w:rPr>
      <w:rFonts w:ascii="Tahoma" w:hAnsi="Tahoma" w:cs="Tahoma"/>
      <w:sz w:val="16"/>
      <w:szCs w:val="16"/>
    </w:rPr>
  </w:style>
  <w:style w:type="character" w:customStyle="1" w:styleId="BalloonTextChar">
    <w:name w:val="Balloon Text Char"/>
    <w:basedOn w:val="DefaultParagraphFont"/>
    <w:link w:val="BalloonText"/>
    <w:uiPriority w:val="99"/>
    <w:semiHidden/>
    <w:rsid w:val="0001623A"/>
    <w:rPr>
      <w:rFonts w:ascii="Tahoma" w:hAnsi="Tahoma" w:cs="Tahoma"/>
      <w:sz w:val="16"/>
      <w:szCs w:val="16"/>
    </w:rPr>
  </w:style>
  <w:style w:type="paragraph" w:styleId="EndnoteText">
    <w:name w:val="endnote text"/>
    <w:basedOn w:val="Normal"/>
    <w:link w:val="EndnoteTextChar"/>
    <w:uiPriority w:val="99"/>
    <w:semiHidden/>
    <w:unhideWhenUsed/>
    <w:rsid w:val="00022C75"/>
    <w:rPr>
      <w:sz w:val="20"/>
      <w:szCs w:val="20"/>
    </w:rPr>
  </w:style>
  <w:style w:type="character" w:customStyle="1" w:styleId="EndnoteTextChar">
    <w:name w:val="Endnote Text Char"/>
    <w:basedOn w:val="DefaultParagraphFont"/>
    <w:link w:val="EndnoteText"/>
    <w:uiPriority w:val="99"/>
    <w:semiHidden/>
    <w:rsid w:val="00022C75"/>
    <w:rPr>
      <w:sz w:val="20"/>
      <w:szCs w:val="20"/>
    </w:rPr>
  </w:style>
  <w:style w:type="character" w:styleId="EndnoteReference">
    <w:name w:val="endnote reference"/>
    <w:basedOn w:val="DefaultParagraphFont"/>
    <w:uiPriority w:val="99"/>
    <w:semiHidden/>
    <w:unhideWhenUsed/>
    <w:rsid w:val="00022C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0844">
      <w:bodyDiv w:val="1"/>
      <w:marLeft w:val="0"/>
      <w:marRight w:val="0"/>
      <w:marTop w:val="0"/>
      <w:marBottom w:val="0"/>
      <w:divBdr>
        <w:top w:val="none" w:sz="0" w:space="0" w:color="auto"/>
        <w:left w:val="none" w:sz="0" w:space="0" w:color="auto"/>
        <w:bottom w:val="none" w:sz="0" w:space="0" w:color="auto"/>
        <w:right w:val="none" w:sz="0" w:space="0" w:color="auto"/>
      </w:divBdr>
      <w:divsChild>
        <w:div w:id="28713096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des.gov.br" TargetMode="External"/><Relationship Id="rId18" Type="http://schemas.openxmlformats.org/officeDocument/2006/relationships/hyperlink" Target="http://darcisioperondi.com.br/perondi-critica-bndes/" TargetMode="External"/><Relationship Id="rId3" Type="http://schemas.openxmlformats.org/officeDocument/2006/relationships/styles" Target="styles.xml"/><Relationship Id="rId21" Type="http://schemas.openxmlformats.org/officeDocument/2006/relationships/hyperlink" Target="http://www.bndes.gov.br/SiteBNDES/bndes/bndes_pt/Institucional/Relacao_Com_Investidores/Desempenho/" TargetMode="External"/><Relationship Id="rId7" Type="http://schemas.openxmlformats.org/officeDocument/2006/relationships/footnotes" Target="footnotes.xml"/><Relationship Id="rId12" Type="http://schemas.openxmlformats.org/officeDocument/2006/relationships/hyperlink" Target="http://www.bndes.gov.br" TargetMode="External"/><Relationship Id="rId17" Type="http://schemas.openxmlformats.org/officeDocument/2006/relationships/hyperlink" Target="http://www.bndes.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ndes.gov.br"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b.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ndes.gov.br" TargetMode="External"/><Relationship Id="rId23" Type="http://schemas.openxmlformats.org/officeDocument/2006/relationships/footer" Target="footer2.xml"/><Relationship Id="rId10" Type="http://schemas.openxmlformats.org/officeDocument/2006/relationships/hyperlink" Target="http://www.iepecdg.com.br/Arquivos/Leiturassugeridas/Conversibilidade%20Final%20-%20260604.pdf" TargetMode="External"/><Relationship Id="rId19" Type="http://schemas.openxmlformats.org/officeDocument/2006/relationships/hyperlink" Target="http://papers.ssrn.com/sol3/papers.cfm?abstract_id=212000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bndes.gov.br" TargetMode="External"/><Relationship Id="rId22" Type="http://schemas.openxmlformats.org/officeDocument/2006/relationships/hyperlink" Target="http://www.desenvolvimento.gov.br/sitio/interna/interna.php?area=5&amp;menu=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DF67-C000-4C3E-9B8D-AF9E341E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8791</Words>
  <Characters>50114</Characters>
  <Application>Microsoft Office Word</Application>
  <DocSecurity>0</DocSecurity>
  <Lines>894</Lines>
  <Paragraphs>199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dcterms:created xsi:type="dcterms:W3CDTF">2013-07-24T22:05:00Z</dcterms:created>
  <dcterms:modified xsi:type="dcterms:W3CDTF">2013-07-24T22:05:00Z</dcterms:modified>
</cp:coreProperties>
</file>