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C6" w:rsidRDefault="00482EC6" w:rsidP="00A62649">
      <w:pPr>
        <w:spacing w:line="480" w:lineRule="auto"/>
        <w:jc w:val="center"/>
        <w:rPr>
          <w:b/>
          <w:sz w:val="28"/>
          <w:szCs w:val="28"/>
        </w:rPr>
      </w:pPr>
    </w:p>
    <w:p w:rsidR="00A62649" w:rsidRDefault="00A62649" w:rsidP="00A62649">
      <w:pPr>
        <w:spacing w:line="480" w:lineRule="auto"/>
        <w:jc w:val="center"/>
        <w:rPr>
          <w:b/>
          <w:sz w:val="28"/>
          <w:szCs w:val="28"/>
        </w:rPr>
      </w:pPr>
      <w:r w:rsidRPr="006E6422">
        <w:rPr>
          <w:b/>
          <w:sz w:val="28"/>
          <w:szCs w:val="28"/>
        </w:rPr>
        <w:t>Theorizing the Financial Statecraft of Emerging Powers</w:t>
      </w:r>
    </w:p>
    <w:p w:rsidR="00A62649" w:rsidRPr="000F2268" w:rsidRDefault="00A62649" w:rsidP="00A62649">
      <w:pPr>
        <w:spacing w:line="480" w:lineRule="auto"/>
        <w:jc w:val="center"/>
      </w:pPr>
      <w:r w:rsidRPr="000F2268">
        <w:t>Leslie Elliott Armijo</w:t>
      </w:r>
      <w:r>
        <w:t xml:space="preserve"> and </w:t>
      </w:r>
      <w:proofErr w:type="spellStart"/>
      <w:r>
        <w:t>Saori</w:t>
      </w:r>
      <w:proofErr w:type="spellEnd"/>
      <w:r>
        <w:t xml:space="preserve"> N. </w:t>
      </w:r>
      <w:proofErr w:type="spellStart"/>
      <w:r>
        <w:t>Katada</w:t>
      </w:r>
      <w:proofErr w:type="spellEnd"/>
    </w:p>
    <w:p w:rsidR="00A62649" w:rsidRDefault="00A62649" w:rsidP="00A62649">
      <w:pPr>
        <w:spacing w:line="480" w:lineRule="auto"/>
        <w:jc w:val="center"/>
      </w:pPr>
      <w:r>
        <w:t>October 2</w:t>
      </w:r>
      <w:r w:rsidRPr="00C05938">
        <w:t>, 2013</w:t>
      </w:r>
    </w:p>
    <w:p w:rsidR="00A62649" w:rsidRPr="00482EC6" w:rsidRDefault="00A62649" w:rsidP="00A62649">
      <w:pPr>
        <w:spacing w:line="480" w:lineRule="auto"/>
        <w:jc w:val="center"/>
      </w:pPr>
      <w:r>
        <w:t xml:space="preserve">Revision prepared for </w:t>
      </w:r>
      <w:r>
        <w:rPr>
          <w:i/>
        </w:rPr>
        <w:t>New Political Economy</w:t>
      </w:r>
      <w:r w:rsidR="00482EC6">
        <w:rPr>
          <w:i/>
        </w:rPr>
        <w:t xml:space="preserve"> </w:t>
      </w:r>
      <w:r w:rsidR="00482EC6">
        <w:t>(accepted pending minor revisions June 2013)</w:t>
      </w:r>
      <w:bookmarkStart w:id="0" w:name="_GoBack"/>
      <w:bookmarkEnd w:id="0"/>
    </w:p>
    <w:p w:rsidR="00A62649" w:rsidRDefault="00A62649" w:rsidP="00A62649">
      <w:pPr>
        <w:spacing w:line="480" w:lineRule="auto"/>
        <w:jc w:val="center"/>
      </w:pPr>
    </w:p>
    <w:p w:rsidR="00A62649" w:rsidRPr="000D3C1F" w:rsidRDefault="00A62649" w:rsidP="00A62649">
      <w:pPr>
        <w:spacing w:line="480" w:lineRule="auto"/>
        <w:jc w:val="center"/>
      </w:pPr>
      <w:r w:rsidRPr="000D3C1F">
        <w:rPr>
          <w:b/>
        </w:rPr>
        <w:t>Abstract</w:t>
      </w:r>
    </w:p>
    <w:p w:rsidR="00A62649" w:rsidRPr="00DE5199" w:rsidRDefault="00A62649" w:rsidP="00A62649">
      <w:pPr>
        <w:spacing w:line="480" w:lineRule="auto"/>
        <w:rPr>
          <w:i/>
        </w:rPr>
      </w:pPr>
      <w:r w:rsidRPr="00C05938">
        <w:t xml:space="preserve"> “Financial statecraft,” or the </w:t>
      </w:r>
      <w:r>
        <w:t xml:space="preserve">intentional </w:t>
      </w:r>
      <w:r w:rsidRPr="00C05938">
        <w:t xml:space="preserve">use of </w:t>
      </w:r>
      <w:r>
        <w:t xml:space="preserve">credit, investment, and currency </w:t>
      </w:r>
      <w:r w:rsidRPr="00C05938">
        <w:t xml:space="preserve">levers by </w:t>
      </w:r>
      <w:r>
        <w:t>the incumbent governments of creditor—and sometimes debtor--</w:t>
      </w:r>
      <w:r w:rsidRPr="00C05938">
        <w:t>states for both international economic and political advantage, has a long history</w:t>
      </w:r>
      <w:r>
        <w:t>, ranging from money doctors to currency wars</w:t>
      </w:r>
      <w:r w:rsidRPr="00C05938">
        <w:t>. A neorealist, zero-sum framing of international monetary relations is not inevitable, yet casts a persistent shadow especially during periods of prospective interstat</w:t>
      </w:r>
      <w:r w:rsidRPr="00A767B7">
        <w:t>e power transitions when previously peripheral countries find themselves with unexpected new capabilities.</w:t>
      </w:r>
      <w:r>
        <w:t xml:space="preserve"> This paper seeks to understand and theorize the financial statecraft of emerging economies, moving beyond the traditional understanding that closely identifies the concept with financial sanctions imposed by a strong on a weaker state. We propose that the aims of financial statecraft may be either “defensive” or “offensive.” Financial statecraft may be targeted either “bilaterally” or “systemically.” Finally, such statecraft may employ instruments that are either “financial” or “monetary.” As emerging market economies have moved up in the ranks in the interstate distribution of capabilities, they have also expanded their financial statecraft strategies from narrowly defensive and bilateral to those involving offensive tactics and targeted at the global and systemic level. Historical and contemporary examples illustrate the analysis.</w:t>
      </w:r>
    </w:p>
    <w:p w:rsidR="00A62649" w:rsidRDefault="00A62649" w:rsidP="00A62649">
      <w:pPr>
        <w:spacing w:line="480" w:lineRule="auto"/>
      </w:pPr>
    </w:p>
    <w:p w:rsidR="00A62649" w:rsidRDefault="00A62649" w:rsidP="00A62649">
      <w:pPr>
        <w:jc w:val="center"/>
        <w:rPr>
          <w:b/>
        </w:rPr>
      </w:pPr>
      <w:r>
        <w:rPr>
          <w:b/>
        </w:rPr>
        <w:lastRenderedPageBreak/>
        <w:t xml:space="preserve">Theorizing the </w:t>
      </w:r>
      <w:r w:rsidRPr="000D3C1F">
        <w:rPr>
          <w:b/>
        </w:rPr>
        <w:t>Financial Statecraft</w:t>
      </w:r>
      <w:r>
        <w:rPr>
          <w:b/>
        </w:rPr>
        <w:t xml:space="preserve"> of Emerging Powers</w:t>
      </w:r>
    </w:p>
    <w:p w:rsidR="00A62649" w:rsidRPr="000D3C1F" w:rsidRDefault="00A62649" w:rsidP="00A62649">
      <w:pPr>
        <w:spacing w:line="480" w:lineRule="auto"/>
        <w:jc w:val="center"/>
      </w:pPr>
    </w:p>
    <w:p w:rsidR="00A62649" w:rsidRPr="00AE5DA9" w:rsidRDefault="00A62649" w:rsidP="00A62649">
      <w:pPr>
        <w:spacing w:line="480" w:lineRule="auto"/>
      </w:pPr>
      <w:r w:rsidRPr="00AE5DA9">
        <w:tab/>
        <w:t>During the late 20</w:t>
      </w:r>
      <w:r w:rsidRPr="00AE5DA9">
        <w:rPr>
          <w:vertAlign w:val="superscript"/>
        </w:rPr>
        <w:t>th</w:t>
      </w:r>
      <w:r w:rsidRPr="00AE5DA9">
        <w:t xml:space="preserve"> century, the emerging economies in Lain America and Asia struggled to fend off imported financial crises. These governments adopted largely defensive strategies to protect their economies at the same time they faced pressure to implement market-oriented economic reforms. Meanwhile, the global interstate distribution of capabilities gradually shifted, and the new international configuration has had a substantial influence on the national and regional financial statecraft of these rising powers and regions. Governments in emerging economies have recently begun to hold more systemic and global concerns and have become increasingly assertive in voicing their views.  We ask in this study how these emerging economies protect themselves from the pressures of globalized finance and strive to transform existing modes of global financial governance in order to provide themselves with a more secure position within it. Ultimately, such </w:t>
      </w:r>
      <w:r>
        <w:t xml:space="preserve">global </w:t>
      </w:r>
      <w:r w:rsidRPr="00AE5DA9">
        <w:t xml:space="preserve">rebalancing and </w:t>
      </w:r>
      <w:r>
        <w:t xml:space="preserve">more active use of </w:t>
      </w:r>
      <w:r w:rsidRPr="00AE5DA9">
        <w:t xml:space="preserve">financial statecraft </w:t>
      </w:r>
      <w:r>
        <w:t xml:space="preserve">by rising powers </w:t>
      </w:r>
      <w:r w:rsidRPr="00AE5DA9">
        <w:t xml:space="preserve">will have fundamental, although perhaps incremental, implications for the global financial architecture. </w:t>
      </w:r>
    </w:p>
    <w:p w:rsidR="00A62649" w:rsidRPr="004C1933" w:rsidRDefault="00A62649" w:rsidP="00A62649">
      <w:pPr>
        <w:spacing w:line="480" w:lineRule="auto"/>
        <w:ind w:firstLine="720"/>
      </w:pPr>
      <w:r>
        <w:t>W</w:t>
      </w:r>
      <w:r w:rsidRPr="00C05938">
        <w:t xml:space="preserve">e define “financial statecraft” as the intentional use, by national governments, of domestic or international monetary or financial capabilities or conditions for the purpose of achieving on-going foreign policy goals, whether political, economic, or financial. </w:t>
      </w:r>
      <w:r>
        <w:t xml:space="preserve">The </w:t>
      </w:r>
      <w:r w:rsidRPr="00C05938">
        <w:t>study address</w:t>
      </w:r>
      <w:r>
        <w:t>es</w:t>
      </w:r>
      <w:r w:rsidRPr="00C05938">
        <w:t xml:space="preserve"> </w:t>
      </w:r>
      <w:r>
        <w:t xml:space="preserve">two </w:t>
      </w:r>
      <w:r w:rsidRPr="00C05938">
        <w:t xml:space="preserve">gaps </w:t>
      </w:r>
      <w:r>
        <w:t xml:space="preserve">in the </w:t>
      </w:r>
      <w:r w:rsidRPr="00C05938">
        <w:t>exi</w:t>
      </w:r>
      <w:r>
        <w:t>s</w:t>
      </w:r>
      <w:r w:rsidRPr="00C05938">
        <w:t>ting literature. First, we complement the large body of work on economic sanctions</w:t>
      </w:r>
      <w:r>
        <w:t>,</w:t>
      </w:r>
      <w:r w:rsidRPr="00C05938">
        <w:t xml:space="preserve"> </w:t>
      </w:r>
      <w:r>
        <w:t xml:space="preserve">which </w:t>
      </w:r>
      <w:r w:rsidRPr="00C05938">
        <w:t xml:space="preserve">primarily </w:t>
      </w:r>
      <w:r>
        <w:t xml:space="preserve">has </w:t>
      </w:r>
      <w:r w:rsidRPr="00C05938">
        <w:t xml:space="preserve">focused on asymmetric economic relationships through which the strong impose conditions and sanctions on the weak. </w:t>
      </w:r>
      <w:r>
        <w:t xml:space="preserve">This paper </w:t>
      </w:r>
      <w:r w:rsidRPr="00C05938">
        <w:t>instead explore</w:t>
      </w:r>
      <w:r>
        <w:t>s</w:t>
      </w:r>
      <w:r w:rsidRPr="00C05938">
        <w:t xml:space="preserve"> the use of financial statecraft by </w:t>
      </w:r>
      <w:r>
        <w:t xml:space="preserve">rising </w:t>
      </w:r>
      <w:r w:rsidRPr="00C05938">
        <w:t xml:space="preserve">powers. Second, we expand the definition of international financial statecraft beyond its narrow use as a synonym for financial </w:t>
      </w:r>
      <w:r>
        <w:t xml:space="preserve">policies </w:t>
      </w:r>
      <w:r w:rsidRPr="00C05938">
        <w:t>intended to alter the behav</w:t>
      </w:r>
      <w:r>
        <w:t>ior of a specific foreign state,</w:t>
      </w:r>
      <w:r w:rsidRPr="00C05938">
        <w:t xml:space="preserve"> </w:t>
      </w:r>
      <w:r>
        <w:t xml:space="preserve">often one viewed by the </w:t>
      </w:r>
      <w:proofErr w:type="spellStart"/>
      <w:r>
        <w:t>sanctioner</w:t>
      </w:r>
      <w:proofErr w:type="spellEnd"/>
      <w:r>
        <w:t xml:space="preserve"> as an </w:t>
      </w:r>
      <w:r w:rsidRPr="00C05938">
        <w:t xml:space="preserve">outlaw or rogue </w:t>
      </w:r>
      <w:r w:rsidRPr="00C05938">
        <w:lastRenderedPageBreak/>
        <w:t>n</w:t>
      </w:r>
      <w:r w:rsidRPr="004C1933">
        <w:t xml:space="preserve">ation. </w:t>
      </w:r>
      <w:r>
        <w:t xml:space="preserve">Here </w:t>
      </w:r>
      <w:r w:rsidRPr="004C1933">
        <w:t>we analyze a variety of monetary and financial statecraft strategies</w:t>
      </w:r>
      <w:r>
        <w:t xml:space="preserve">, including those aimed at altering systemic conditions, the institutions and governance of global finance. </w:t>
      </w:r>
    </w:p>
    <w:p w:rsidR="00A62649" w:rsidRDefault="00A62649" w:rsidP="00A62649">
      <w:pPr>
        <w:spacing w:line="480" w:lineRule="auto"/>
      </w:pPr>
      <w:r w:rsidRPr="000D3C1F">
        <w:tab/>
      </w:r>
      <w:r>
        <w:t>The paper</w:t>
      </w:r>
      <w:r w:rsidRPr="00C05938">
        <w:t xml:space="preserve"> first discusses the emergence of new powers in Asia</w:t>
      </w:r>
      <w:r>
        <w:t xml:space="preserve"> and Latin America</w:t>
      </w:r>
      <w:r w:rsidRPr="00C05938">
        <w:t xml:space="preserve">. We suggest that the governments of many emerging powers have taken this </w:t>
      </w:r>
      <w:r>
        <w:t xml:space="preserve">power shift </w:t>
      </w:r>
      <w:r w:rsidRPr="00C05938">
        <w:t>as their</w:t>
      </w:r>
      <w:r>
        <w:t xml:space="preserve"> cue to engage in more active </w:t>
      </w:r>
      <w:r w:rsidRPr="00C05938">
        <w:t>financial statecraft. Section two theorizes the concept of financial statecraft</w:t>
      </w:r>
      <w:r>
        <w:t xml:space="preserve"> focusing on three dichotomous dimensions. The aims of financial statecraft may be primarily “defensive” or “offensive,” its targets “bilateral” or “systemic,” and its instruments “financial” or “monetary.” The empirical portion of the paper, in sections three through six, maps broad variations in the first two dimensions (financial statecraft’s aims and targets), drawing on examples from Latin America and Asia.  We suggest that states may be drawn to certain types of financial statecraft according to their position in the </w:t>
      </w:r>
      <w:r w:rsidRPr="00110095">
        <w:t xml:space="preserve">global interstate distribution of material </w:t>
      </w:r>
      <w:r w:rsidRPr="004C1933">
        <w:t xml:space="preserve">capabilities. We conclude with brief comments on the implications </w:t>
      </w:r>
      <w:r>
        <w:t xml:space="preserve">of the analysis </w:t>
      </w:r>
      <w:r w:rsidRPr="004C1933">
        <w:t>for future global financial governance</w:t>
      </w:r>
      <w:r>
        <w:t>. We infer</w:t>
      </w:r>
      <w:r w:rsidRPr="004C1933">
        <w:t xml:space="preserve"> that </w:t>
      </w:r>
      <w:r>
        <w:t xml:space="preserve">due to their nascent offensive financial statecraft capabilities as well as their own outward-oriented economic interests, </w:t>
      </w:r>
      <w:r w:rsidRPr="004C1933">
        <w:t>it is unlikely</w:t>
      </w:r>
      <w:r>
        <w:t xml:space="preserve"> for these emerging powers to </w:t>
      </w:r>
      <w:r w:rsidRPr="004C1933">
        <w:t>pose aggressive challenges to the existing global governance structure in the near future.</w:t>
      </w:r>
    </w:p>
    <w:p w:rsidR="00A62649" w:rsidRPr="004C1933" w:rsidRDefault="00A62649" w:rsidP="00A62649">
      <w:pPr>
        <w:spacing w:line="480" w:lineRule="auto"/>
      </w:pPr>
    </w:p>
    <w:p w:rsidR="00A62649" w:rsidRPr="00293547" w:rsidRDefault="00A62649" w:rsidP="00A62649">
      <w:pPr>
        <w:spacing w:line="480" w:lineRule="auto"/>
      </w:pPr>
      <w:r w:rsidRPr="009B1E3C">
        <w:rPr>
          <w:b/>
        </w:rPr>
        <w:t>I. The 21</w:t>
      </w:r>
      <w:r w:rsidRPr="009B1E3C">
        <w:rPr>
          <w:b/>
          <w:vertAlign w:val="superscript"/>
        </w:rPr>
        <w:t>st</w:t>
      </w:r>
      <w:r w:rsidRPr="009B1E3C">
        <w:rPr>
          <w:b/>
        </w:rPr>
        <w:t xml:space="preserve"> century’s shifting interstate distribution of capabilities</w:t>
      </w:r>
    </w:p>
    <w:p w:rsidR="00A62649" w:rsidRPr="009B1E3C" w:rsidRDefault="00A62649" w:rsidP="00A62649">
      <w:pPr>
        <w:spacing w:line="480" w:lineRule="auto"/>
      </w:pPr>
      <w:r w:rsidRPr="00D221CF">
        <w:tab/>
      </w:r>
      <w:r w:rsidRPr="008054B5">
        <w:t>The use of international financial statecraft by new global and regional players rests on the assumption that an underlying shift of capabilities, and thus eventually of global influence, is indeed in process.  Hence, we examine whether the emerging market economies are really “emerging” with higher relative capabilities and potential to influence others and the global system.</w:t>
      </w:r>
    </w:p>
    <w:p w:rsidR="00A62649" w:rsidRPr="00C40B41" w:rsidRDefault="00A62649" w:rsidP="00A62649">
      <w:pPr>
        <w:spacing w:line="480" w:lineRule="auto"/>
        <w:ind w:firstLine="720"/>
      </w:pPr>
      <w:r w:rsidRPr="00C05938">
        <w:lastRenderedPageBreak/>
        <w:t xml:space="preserve">Measuring shifting power is not simple. The field of international relations </w:t>
      </w:r>
      <w:r w:rsidRPr="000D3C1F">
        <w:t xml:space="preserve">splits between strict “realists” (Waltz 1979; </w:t>
      </w:r>
      <w:proofErr w:type="spellStart"/>
      <w:r w:rsidRPr="000D3C1F">
        <w:t>Mearsheimer</w:t>
      </w:r>
      <w:proofErr w:type="spellEnd"/>
      <w:r w:rsidRPr="000D3C1F">
        <w:t xml:space="preserve"> 2001) who conceptualize power principally in terms of the distribution of material capabilities (power potentials) among like units in an ungoverned (“anarchic”) interstate system, and those, including liberal institutionalists, who understand power as inevitably relational and thus inhering only in situations in which one state is able to persuade or dissuade another away from the target state’s default path (Barnett and Duvall 2005). Our theoretical stance is closer to that of the “neoclassical realists,” who ground </w:t>
      </w:r>
      <w:r w:rsidRPr="00C05938">
        <w:t>their analyses in the material balance of power potentials among states</w:t>
      </w:r>
      <w:r>
        <w:t>.</w:t>
      </w:r>
      <w:r w:rsidRPr="00C05938">
        <w:t xml:space="preserve"> </w:t>
      </w:r>
      <w:r>
        <w:t>Y</w:t>
      </w:r>
      <w:r w:rsidRPr="00C05938">
        <w:t xml:space="preserve">et we also </w:t>
      </w:r>
      <w:r>
        <w:t xml:space="preserve">would </w:t>
      </w:r>
      <w:r w:rsidRPr="00C05938">
        <w:t xml:space="preserve">explicitly allow for the possibility </w:t>
      </w:r>
      <w:r w:rsidRPr="000D3C1F">
        <w:t xml:space="preserve">of foreign policy choices being shaped, in addition, by policymakers’ responses to domestic or transnational institutions, interests, and ideas (Rose 1998; Kitchen 2010). </w:t>
      </w:r>
      <w:r>
        <w:t>Nonetheless, t</w:t>
      </w:r>
      <w:r w:rsidRPr="000D3C1F">
        <w:t xml:space="preserve">he classical balance of interstate material capabilities sets limits on plausible state choices, and thus matters, particularly when </w:t>
      </w:r>
      <w:r>
        <w:t>the balance</w:t>
      </w:r>
      <w:r w:rsidRPr="000D3C1F">
        <w:t xml:space="preserve"> is in flux.</w:t>
      </w:r>
    </w:p>
    <w:p w:rsidR="00A62649" w:rsidRPr="00C05938" w:rsidRDefault="00A62649" w:rsidP="00A62649">
      <w:pPr>
        <w:spacing w:line="480" w:lineRule="auto"/>
      </w:pPr>
      <w:r w:rsidRPr="00C40B41">
        <w:tab/>
        <w:t xml:space="preserve">It is generally agreed that currently the United States disposes of more “power” resources (that is, material capabilities that might be translated into global influence) than any other single country. </w:t>
      </w:r>
      <w:proofErr w:type="spellStart"/>
      <w:r w:rsidRPr="00C40B41">
        <w:t>Ikenberry</w:t>
      </w:r>
      <w:proofErr w:type="spellEnd"/>
      <w:r w:rsidRPr="00C40B41">
        <w:t xml:space="preserve">, </w:t>
      </w:r>
      <w:proofErr w:type="spellStart"/>
      <w:r w:rsidRPr="00C40B41">
        <w:t>Mastanduno</w:t>
      </w:r>
      <w:proofErr w:type="spellEnd"/>
      <w:r w:rsidRPr="00C40B41">
        <w:t xml:space="preserve">, and </w:t>
      </w:r>
      <w:proofErr w:type="spellStart"/>
      <w:r w:rsidRPr="00C40B41">
        <w:t>Wohlforth</w:t>
      </w:r>
      <w:proofErr w:type="spellEnd"/>
      <w:r w:rsidRPr="00C40B41">
        <w:t xml:space="preserve"> (2009) find that today’s interstate system is not hegemonic, but is certainly unipolar. Yet other states are increasing their presence. One quantitative snapshot comes from the Composite Index of National Capabilities (CINC) developed by the “Correlates of War” project and calculated continuously </w:t>
      </w:r>
      <w:r>
        <w:t xml:space="preserve">for an evolving set of major and intermediate powers </w:t>
      </w:r>
      <w:r w:rsidRPr="00C40B41">
        <w:t xml:space="preserve">since 1820 (Singer, Bremer, and Stuckey 1972). The index averages national shares of world totals of six objective capabilities particularly relevant to the ability to wage war: population, urban population, iron and steel production, energy consumption, military personnel, and military spending. Table 1 (left half) shows the results for 1955, 1990, and 2007, the most recent year available. According to this index, the U.S. alone </w:t>
      </w:r>
      <w:r w:rsidRPr="00C40B41">
        <w:lastRenderedPageBreak/>
        <w:t>accounted for about 23 percent of all international “hard power” capabilities in 1955</w:t>
      </w:r>
      <w:r>
        <w:t>. Its share</w:t>
      </w:r>
      <w:r w:rsidRPr="00C40B41">
        <w:t xml:space="preserve"> shrunk to </w:t>
      </w:r>
      <w:r>
        <w:t xml:space="preserve">about </w:t>
      </w:r>
      <w:r w:rsidRPr="00C40B41">
        <w:t xml:space="preserve">14 percent </w:t>
      </w:r>
      <w:r>
        <w:t>by</w:t>
      </w:r>
      <w:r w:rsidRPr="00C40B41">
        <w:t xml:space="preserve"> 1990, then held steady through 2007. The decline in the share of capabilities controlled by the remaining major advanced industrial countries (G7 minus the United States)—Canada, France, Germany, Italy, Japan, and the UK (G6)—was smaller and more gradual</w:t>
      </w:r>
      <w:r>
        <w:t>,</w:t>
      </w:r>
      <w:r w:rsidRPr="00C40B41">
        <w:t xml:space="preserve"> falling from 18 percent in 1955 to 13.5 percent in 2007. Between 1955 and 1990</w:t>
      </w:r>
      <w:r>
        <w:t>,</w:t>
      </w:r>
      <w:r w:rsidRPr="00C40B41">
        <w:t xml:space="preserve"> the relative share</w:t>
      </w:r>
      <w:r w:rsidRPr="000D3C1F">
        <w:t xml:space="preserve">s of countries not included </w:t>
      </w:r>
      <w:r>
        <w:t xml:space="preserve">by name </w:t>
      </w:r>
      <w:r w:rsidRPr="000D3C1F">
        <w:t xml:space="preserve">in the table (the rest </w:t>
      </w:r>
      <w:r w:rsidRPr="009B1E3C">
        <w:t xml:space="preserve">of the world, ROW) expanded by about </w:t>
      </w:r>
      <w:r w:rsidRPr="008054B5">
        <w:t>10 percentage points</w:t>
      </w:r>
      <w:r w:rsidRPr="009B1E3C">
        <w:t xml:space="preserve">, from around 41 to 51 percent of </w:t>
      </w:r>
      <w:r w:rsidRPr="000D3C1F">
        <w:t>world capabilities—but then fell back to less than 43 percent in 2007. The share of China, India, and Brazil (BIC) grew slowly from a</w:t>
      </w:r>
      <w:r>
        <w:t>bout 15 to 17.5 percent from 1955-90,</w:t>
      </w:r>
      <w:r w:rsidRPr="000D3C1F">
        <w:t xml:space="preserve"> then exploded to nearly 30 percent of the world total </w:t>
      </w:r>
      <w:r>
        <w:t>in 2007</w:t>
      </w:r>
      <w:r w:rsidRPr="00C05938">
        <w:t xml:space="preserve"> mainly due to the growth of China. Yet the</w:t>
      </w:r>
      <w:r>
        <w:t>se</w:t>
      </w:r>
      <w:r w:rsidRPr="00C05938">
        <w:t xml:space="preserve"> results are questionable, as they suggest that today China has greater material capabilities than even the U.S.</w:t>
      </w:r>
    </w:p>
    <w:p w:rsidR="00A62649" w:rsidRDefault="00A62649" w:rsidP="00A62649">
      <w:pPr>
        <w:spacing w:line="480" w:lineRule="auto"/>
        <w:jc w:val="center"/>
      </w:pPr>
    </w:p>
    <w:p w:rsidR="00A62649" w:rsidRPr="000D3C1F" w:rsidRDefault="00A62649" w:rsidP="00A62649">
      <w:pPr>
        <w:spacing w:line="480" w:lineRule="auto"/>
        <w:jc w:val="center"/>
      </w:pPr>
      <w:r>
        <w:t>&lt;</w:t>
      </w:r>
      <w:r w:rsidRPr="000D3C1F">
        <w:t>Table 1. Relative Material Capabilities of States</w:t>
      </w:r>
      <w:r>
        <w:t>,</w:t>
      </w:r>
      <w:r w:rsidRPr="000D3C1F">
        <w:t xml:space="preserve"> about her</w:t>
      </w:r>
      <w:r>
        <w:t>e&gt;</w:t>
      </w:r>
    </w:p>
    <w:p w:rsidR="00A62649" w:rsidRDefault="00A62649" w:rsidP="00A62649">
      <w:pPr>
        <w:spacing w:line="480" w:lineRule="auto"/>
      </w:pPr>
    </w:p>
    <w:p w:rsidR="00A62649" w:rsidRPr="00E02F4A" w:rsidRDefault="00A62649" w:rsidP="00A62649">
      <w:pPr>
        <w:spacing w:line="480" w:lineRule="auto"/>
      </w:pPr>
      <w:r w:rsidRPr="00C05938">
        <w:tab/>
        <w:t xml:space="preserve">One might instead construct an alternative Contemporary Capabilities Index (CCI) more </w:t>
      </w:r>
      <w:r w:rsidRPr="000D3C1F">
        <w:t>appropriate to measuring relative capability in our own era</w:t>
      </w:r>
      <w:r>
        <w:t xml:space="preserve"> (</w:t>
      </w:r>
      <w:r w:rsidRPr="008C3453">
        <w:t xml:space="preserve">Armijo, </w:t>
      </w:r>
      <w:proofErr w:type="spellStart"/>
      <w:r w:rsidRPr="008C3453">
        <w:t>Muehlich</w:t>
      </w:r>
      <w:proofErr w:type="spellEnd"/>
      <w:r w:rsidRPr="008C3453">
        <w:t xml:space="preserve">, and </w:t>
      </w:r>
      <w:proofErr w:type="spellStart"/>
      <w:r w:rsidRPr="008C3453">
        <w:t>Tirone</w:t>
      </w:r>
      <w:proofErr w:type="spellEnd"/>
      <w:r w:rsidRPr="008C3453">
        <w:t xml:space="preserve"> forthcoming</w:t>
      </w:r>
      <w:r>
        <w:t>)</w:t>
      </w:r>
      <w:r w:rsidRPr="000D3C1F">
        <w:t>. In contrast to the CINC, the CCI incorporates the total size of the economy, two proxies for technology, and a measure of financial capability, but no longer assigns positive valence to high energy consumption or urbanization per se. The CCI is calculated as the mean of national shares in global total</w:t>
      </w:r>
      <w:r w:rsidRPr="00E02F4A">
        <w:t xml:space="preserve">s of: national income (GDP at PPP rates), population, telephone subscriptions (both fixed and mobile), industrial value-added, foreign exchange reserves, and military spending.  As shown on the right side of Table 1, the CCI indicates that the U.S. had 21 percent of global capabilities as recently as 1990 before it shrunk to 17 percent by 2007-9. The </w:t>
      </w:r>
      <w:r w:rsidRPr="00E02F4A">
        <w:lastRenderedPageBreak/>
        <w:t xml:space="preserve">share of the remaining six major advanced industrial countries (G6) meanwhile fell from about 26 to 19 percent. Most of the expansion occurred in India, Brazil and particularly in China, whose global capabilities rose from 5 to 14 percent. </w:t>
      </w:r>
    </w:p>
    <w:p w:rsidR="00A62649" w:rsidRPr="00E02F4A" w:rsidRDefault="00A62649" w:rsidP="00A62649">
      <w:pPr>
        <w:spacing w:line="480" w:lineRule="auto"/>
        <w:ind w:firstLine="720"/>
      </w:pPr>
      <w:r w:rsidRPr="00E02F4A">
        <w:t xml:space="preserve">Table 1 demonstrates that the trends in the CINC and CCI are broadly similar, </w:t>
      </w:r>
      <w:r>
        <w:t xml:space="preserve">although the </w:t>
      </w:r>
      <w:r w:rsidRPr="00E02F4A">
        <w:t>CINC</w:t>
      </w:r>
      <w:r>
        <w:t xml:space="preserve">’s </w:t>
      </w:r>
      <w:r w:rsidRPr="00E02F4A">
        <w:t xml:space="preserve"> arguably anachronistic indicators show the advanced industrial democracies declining sooner and farther. </w:t>
      </w:r>
      <w:r>
        <w:t>Both indices surely overstate the current international influence of emerging powers, as</w:t>
      </w:r>
      <w:r w:rsidRPr="00E02F4A">
        <w:t xml:space="preserve"> </w:t>
      </w:r>
      <w:r>
        <w:t>n</w:t>
      </w:r>
      <w:r w:rsidRPr="00E02F4A">
        <w:t xml:space="preserve">either </w:t>
      </w:r>
      <w:r w:rsidRPr="00293547">
        <w:t xml:space="preserve">includes such “soft power” </w:t>
      </w:r>
      <w:r w:rsidRPr="008054B5">
        <w:t>(Nye 1990; 2004)</w:t>
      </w:r>
      <w:r w:rsidRPr="00293547">
        <w:t xml:space="preserve"> dimensions such as reputation, cultural influence,</w:t>
      </w:r>
      <w:r w:rsidRPr="00E02F4A">
        <w:t xml:space="preserve"> or political stability. They also omit more esoteric or hard to measure dimensions of material power such as number of patents applied for or granted, or share of global engineers graduated. Yet if we take them as indicators of the direction (but not necessarily the level) of change, they offer compelling support of a </w:t>
      </w:r>
      <w:r>
        <w:t xml:space="preserve">relative </w:t>
      </w:r>
      <w:r w:rsidRPr="00E02F4A">
        <w:t xml:space="preserve">rise </w:t>
      </w:r>
      <w:r>
        <w:t xml:space="preserve">in capabilities by newly </w:t>
      </w:r>
      <w:r w:rsidRPr="00E02F4A">
        <w:t>emerging powers.</w:t>
      </w:r>
      <w:r>
        <w:t xml:space="preserve"> This is how trends are being interpreted in state houses, news media, and universities worldwide.</w:t>
      </w:r>
    </w:p>
    <w:p w:rsidR="00A62649" w:rsidRDefault="00A62649" w:rsidP="00A62649">
      <w:pPr>
        <w:spacing w:line="480" w:lineRule="auto"/>
        <w:rPr>
          <w:b/>
        </w:rPr>
      </w:pPr>
    </w:p>
    <w:p w:rsidR="00A62649" w:rsidRPr="000D3C1F" w:rsidRDefault="00A62649" w:rsidP="00A62649">
      <w:pPr>
        <w:spacing w:line="480" w:lineRule="auto"/>
        <w:rPr>
          <w:b/>
        </w:rPr>
      </w:pPr>
      <w:r>
        <w:rPr>
          <w:b/>
        </w:rPr>
        <w:t xml:space="preserve">II. </w:t>
      </w:r>
      <w:r w:rsidRPr="000D3C1F">
        <w:rPr>
          <w:b/>
        </w:rPr>
        <w:t xml:space="preserve">Theorizing financial statecraft </w:t>
      </w:r>
    </w:p>
    <w:p w:rsidR="00A62649" w:rsidRPr="000D3C1F" w:rsidRDefault="00A62649" w:rsidP="00A62649">
      <w:pPr>
        <w:spacing w:line="480" w:lineRule="auto"/>
        <w:rPr>
          <w:iCs/>
        </w:rPr>
      </w:pPr>
      <w:r>
        <w:tab/>
      </w:r>
      <w:r w:rsidRPr="00C05938">
        <w:t xml:space="preserve">States often have deployed economic and financial instruments to achieve their foreign policy goals. </w:t>
      </w:r>
      <w:r w:rsidRPr="00C05938">
        <w:rPr>
          <w:iCs/>
        </w:rPr>
        <w:t xml:space="preserve">The notion of economic and financial interests enlisted or involved in foreign policy goes back to the early </w:t>
      </w:r>
      <w:r>
        <w:rPr>
          <w:iCs/>
        </w:rPr>
        <w:t xml:space="preserve">years </w:t>
      </w:r>
      <w:r w:rsidRPr="00C05938">
        <w:rPr>
          <w:iCs/>
        </w:rPr>
        <w:t xml:space="preserve">of the globalizing economy and modern nation-state.  The peace preference of the </w:t>
      </w:r>
      <w:r w:rsidRPr="00C05938">
        <w:rPr>
          <w:i/>
          <w:iCs/>
        </w:rPr>
        <w:t>haute finance,</w:t>
      </w:r>
      <w:r w:rsidRPr="00C05938">
        <w:rPr>
          <w:iCs/>
        </w:rPr>
        <w:t xml:space="preserve"> argues Polanyi (1944), contributed significantly to the one-hundred-year relative peace in Europe under the rapidly globalizing market </w:t>
      </w:r>
      <w:r w:rsidRPr="000D3C1F">
        <w:rPr>
          <w:iCs/>
        </w:rPr>
        <w:t xml:space="preserve">economy of the late 1800s through World War I. Adopting a more </w:t>
      </w:r>
      <w:r w:rsidRPr="000D3C1F">
        <w:rPr>
          <w:i/>
          <w:iCs/>
        </w:rPr>
        <w:t xml:space="preserve">realpolitik </w:t>
      </w:r>
      <w:r w:rsidRPr="000D3C1F">
        <w:rPr>
          <w:iCs/>
        </w:rPr>
        <w:t xml:space="preserve">tone, Hirschman (1945: xv) examines how “quotas, exchange controls, capital investment, and other instruments” can be </w:t>
      </w:r>
      <w:r w:rsidRPr="000D3C1F">
        <w:rPr>
          <w:iCs/>
        </w:rPr>
        <w:lastRenderedPageBreak/>
        <w:t>used to engage in economic warfare, especially through establishing a country’s potential for economic sanctions.</w:t>
      </w:r>
    </w:p>
    <w:p w:rsidR="00A62649" w:rsidRDefault="00A62649" w:rsidP="00A62649">
      <w:pPr>
        <w:spacing w:line="480" w:lineRule="auto"/>
      </w:pPr>
      <w:r>
        <w:tab/>
        <w:t>The term “e</w:t>
      </w:r>
      <w:r w:rsidRPr="00C05938">
        <w:t>conomic statecraft” has traditionally been defined as the employment by the state of economic levers as a means to achieve foreign policy ends. For instance, trade sanctions may be imposed on a foreign country with the aims of pressuring its government to end human rights violations against its citizens or cease construction of nuclear weapon</w:t>
      </w:r>
      <w:r>
        <w:t>s</w:t>
      </w:r>
      <w:r w:rsidRPr="00C05938">
        <w:t>. Conversely</w:t>
      </w:r>
      <w:r w:rsidRPr="000D3C1F">
        <w:t xml:space="preserve">, military or diplomatic allies may receive subsidized loans or trade preferences. </w:t>
      </w:r>
      <w:r w:rsidRPr="000D3C1F">
        <w:rPr>
          <w:iCs/>
        </w:rPr>
        <w:t>Baldwin’s (1985) seminal work on economic statecraft highlights the way in which economic instruments, particularly trade and other economic sanctions, can be deployed in support of state security objectives. In the last twenty years, a cottage industry on economic sanctions has investigated both the domestic political foundations and the effectiveness of such sanctions.</w:t>
      </w:r>
      <w:r w:rsidRPr="000D3C1F">
        <w:rPr>
          <w:rStyle w:val="EndnoteReference"/>
          <w:iCs/>
        </w:rPr>
        <w:endnoteReference w:id="1"/>
      </w:r>
      <w:r w:rsidRPr="000D3C1F">
        <w:rPr>
          <w:iCs/>
        </w:rPr>
        <w:t xml:space="preserve"> </w:t>
      </w:r>
      <w:r w:rsidRPr="000D3C1F">
        <w:t xml:space="preserve">Consistent with this usage, “financial statecraft” </w:t>
      </w:r>
      <w:r>
        <w:t xml:space="preserve">(FS) </w:t>
      </w:r>
      <w:r w:rsidRPr="000D3C1F">
        <w:t xml:space="preserve">would refer to a national government’s use of monetary or financial regulations or policies to achieve foreign policy ends. </w:t>
      </w:r>
    </w:p>
    <w:p w:rsidR="00A62649" w:rsidRDefault="00A62649" w:rsidP="00A62649">
      <w:pPr>
        <w:spacing w:line="480" w:lineRule="auto"/>
        <w:ind w:firstLine="720"/>
        <w:rPr>
          <w:iCs/>
        </w:rPr>
      </w:pPr>
      <w:r w:rsidRPr="000D3C1F">
        <w:rPr>
          <w:iCs/>
        </w:rPr>
        <w:t xml:space="preserve">This body of work has a strong large country bias, however.  </w:t>
      </w:r>
      <w:r>
        <w:rPr>
          <w:iCs/>
        </w:rPr>
        <w:t xml:space="preserve">These studies most often </w:t>
      </w:r>
      <w:r w:rsidRPr="000D3C1F">
        <w:rPr>
          <w:iCs/>
        </w:rPr>
        <w:t xml:space="preserve">focus on the wealthy democracies, particularly the United States, the state which imposes most </w:t>
      </w:r>
      <w:r>
        <w:rPr>
          <w:iCs/>
        </w:rPr>
        <w:t xml:space="preserve">contemporary </w:t>
      </w:r>
      <w:r w:rsidRPr="000D3C1F">
        <w:rPr>
          <w:iCs/>
        </w:rPr>
        <w:t xml:space="preserve">sanctions. </w:t>
      </w:r>
      <w:r w:rsidRPr="00C05938">
        <w:rPr>
          <w:iCs/>
        </w:rPr>
        <w:t xml:space="preserve">Moreover, their focus on targeted sanctions </w:t>
      </w:r>
      <w:r>
        <w:rPr>
          <w:iCs/>
        </w:rPr>
        <w:t>has</w:t>
      </w:r>
      <w:r w:rsidRPr="00C05938">
        <w:rPr>
          <w:iCs/>
        </w:rPr>
        <w:t xml:space="preserve"> led researchers to underestimate the intentional political content of </w:t>
      </w:r>
      <w:r>
        <w:rPr>
          <w:iCs/>
        </w:rPr>
        <w:t>broad</w:t>
      </w:r>
      <w:r w:rsidRPr="00C05938">
        <w:rPr>
          <w:iCs/>
        </w:rPr>
        <w:t xml:space="preserve"> international financial and monetary policie</w:t>
      </w:r>
      <w:r w:rsidRPr="007527D7">
        <w:rPr>
          <w:iCs/>
        </w:rPr>
        <w:t>s. For example, only recently have scholars begun to consider the provision by the United States of the world’s dominant transaction and reserve currency for decades as an “exorbitant privilege” enabling the issuer to further a range of non-financial international policy goals (</w:t>
      </w:r>
      <w:proofErr w:type="spellStart"/>
      <w:r w:rsidRPr="007527D7">
        <w:rPr>
          <w:iCs/>
        </w:rPr>
        <w:t>Eichengreen</w:t>
      </w:r>
      <w:proofErr w:type="spellEnd"/>
      <w:r w:rsidRPr="007527D7">
        <w:rPr>
          <w:iCs/>
        </w:rPr>
        <w:t xml:space="preserve"> 2011).  We </w:t>
      </w:r>
      <w:r>
        <w:rPr>
          <w:iCs/>
        </w:rPr>
        <w:t xml:space="preserve">suggest moving </w:t>
      </w:r>
      <w:r w:rsidRPr="00C05938">
        <w:rPr>
          <w:iCs/>
        </w:rPr>
        <w:t xml:space="preserve">beyond both the large-country bias and the narrow focus on sanctions of much of the existing literature. </w:t>
      </w:r>
    </w:p>
    <w:p w:rsidR="00A62649" w:rsidRPr="007527D7" w:rsidRDefault="00A62649" w:rsidP="00A62649">
      <w:pPr>
        <w:spacing w:line="480" w:lineRule="auto"/>
      </w:pPr>
      <w:r w:rsidRPr="00C05938">
        <w:rPr>
          <w:iCs/>
        </w:rPr>
        <w:lastRenderedPageBreak/>
        <w:tab/>
        <w:t xml:space="preserve">Our analytical framework </w:t>
      </w:r>
      <w:r>
        <w:rPr>
          <w:iCs/>
        </w:rPr>
        <w:t>nonetheless builds on existing research. Paying close</w:t>
      </w:r>
      <w:r w:rsidRPr="00C05938">
        <w:rPr>
          <w:iCs/>
        </w:rPr>
        <w:t xml:space="preserve"> attention to monetary dynamics beyond the strongest states, Cohen (1966) was ahead of his time in suggesting that there are two </w:t>
      </w:r>
      <w:r>
        <w:rPr>
          <w:iCs/>
        </w:rPr>
        <w:t xml:space="preserve">different </w:t>
      </w:r>
      <w:r w:rsidRPr="00C05938">
        <w:rPr>
          <w:iCs/>
        </w:rPr>
        <w:t xml:space="preserve">types of negative results from </w:t>
      </w:r>
      <w:r>
        <w:rPr>
          <w:iCs/>
        </w:rPr>
        <w:t xml:space="preserve">engaging in policy adjustment to reduce a persistent balance of payments deficit: </w:t>
      </w:r>
      <w:r w:rsidRPr="00C05938">
        <w:rPr>
          <w:iCs/>
        </w:rPr>
        <w:t xml:space="preserve">continuing costs and transitional costs.  Cohen (2006) later developed these concepts into “the two hands of monetary power”; power to delay (that is, to postpone </w:t>
      </w:r>
      <w:r>
        <w:rPr>
          <w:iCs/>
        </w:rPr>
        <w:t xml:space="preserve">what would become </w:t>
      </w:r>
      <w:r w:rsidRPr="00C05938">
        <w:rPr>
          <w:iCs/>
        </w:rPr>
        <w:t>the continuing cost o</w:t>
      </w:r>
      <w:r>
        <w:rPr>
          <w:iCs/>
        </w:rPr>
        <w:t xml:space="preserve">f domestic macroeconomic adjustment to reduce a trade imbalance) </w:t>
      </w:r>
      <w:r w:rsidRPr="00C05938">
        <w:rPr>
          <w:iCs/>
        </w:rPr>
        <w:t>and power to deflect (that is, to avoid the transitional cost of adjustment</w:t>
      </w:r>
      <w:r>
        <w:rPr>
          <w:iCs/>
        </w:rPr>
        <w:t xml:space="preserve"> by passing it off to one’s trading partner</w:t>
      </w:r>
      <w:r w:rsidRPr="00C05938">
        <w:rPr>
          <w:iCs/>
        </w:rPr>
        <w:t>). Large countries with high levels of liquidity</w:t>
      </w:r>
      <w:r>
        <w:rPr>
          <w:iCs/>
        </w:rPr>
        <w:t>,</w:t>
      </w:r>
      <w:r w:rsidRPr="00C05938">
        <w:rPr>
          <w:iCs/>
        </w:rPr>
        <w:t xml:space="preserve"> borrowing capacity, </w:t>
      </w:r>
      <w:r>
        <w:rPr>
          <w:iCs/>
        </w:rPr>
        <w:t xml:space="preserve">and </w:t>
      </w:r>
      <w:r w:rsidRPr="00C05938">
        <w:rPr>
          <w:iCs/>
        </w:rPr>
        <w:t>diversified economies, always have higher</w:t>
      </w:r>
      <w:r>
        <w:rPr>
          <w:iCs/>
        </w:rPr>
        <w:t xml:space="preserve"> power to delay and deflect, while</w:t>
      </w:r>
      <w:r w:rsidRPr="00C05938">
        <w:rPr>
          <w:iCs/>
        </w:rPr>
        <w:t xml:space="preserve"> small countries typically lack both. </w:t>
      </w:r>
      <w:r w:rsidRPr="00C05938">
        <w:t xml:space="preserve">Andrews (2006; 18-19) </w:t>
      </w:r>
      <w:r>
        <w:t xml:space="preserve">also </w:t>
      </w:r>
      <w:r w:rsidRPr="00C05938">
        <w:t xml:space="preserve">analyzes the use of monetary statecraft, and identifies both </w:t>
      </w:r>
      <w:r>
        <w:t>“</w:t>
      </w:r>
      <w:r w:rsidRPr="00C05938">
        <w:t>internal</w:t>
      </w:r>
      <w:r>
        <w:t>”</w:t>
      </w:r>
      <w:r w:rsidRPr="00C05938">
        <w:t xml:space="preserve"> and </w:t>
      </w:r>
      <w:r>
        <w:t>“</w:t>
      </w:r>
      <w:r w:rsidRPr="00C05938">
        <w:t>external</w:t>
      </w:r>
      <w:r>
        <w:t>”</w:t>
      </w:r>
      <w:r w:rsidRPr="00C05938">
        <w:t xml:space="preserve"> aims of key instruments or techniques. For example, he notes that manipulation of currency values has the internal objective of insulating domestic monetary poli</w:t>
      </w:r>
      <w:r>
        <w:t xml:space="preserve">cy, but </w:t>
      </w:r>
      <w:r w:rsidRPr="007527D7">
        <w:t xml:space="preserve">also the external (international) goal of promoting exports or exacting concessions on other issues. Agreeing with Cohen (2006:49-50), who argues that international monetary relations have tended to be hierarchical, our project pushes the envelope by considering the choices available to countries striving to ascend this hierarchy.  </w:t>
      </w:r>
    </w:p>
    <w:p w:rsidR="00A62649" w:rsidRDefault="00A62649" w:rsidP="00A62649">
      <w:pPr>
        <w:spacing w:line="480" w:lineRule="auto"/>
        <w:ind w:firstLine="720"/>
      </w:pPr>
      <w:r>
        <w:t xml:space="preserve">We propose three important dimensions of financial statecraft. The first and most important dimension concerns </w:t>
      </w:r>
      <w:r w:rsidRPr="00481E8C">
        <w:t xml:space="preserve">state </w:t>
      </w:r>
      <w:r w:rsidRPr="00C05938">
        <w:t xml:space="preserve">leaders’ policy objectives, </w:t>
      </w:r>
      <w:r>
        <w:t xml:space="preserve">which may be either “defensive” or “offensive,” a judgment that we allocate to </w:t>
      </w:r>
      <w:r w:rsidRPr="00C05938">
        <w:t xml:space="preserve">the researcher, although statements of senior policymakers </w:t>
      </w:r>
      <w:r>
        <w:t xml:space="preserve">serve </w:t>
      </w:r>
      <w:r w:rsidRPr="00C05938">
        <w:t xml:space="preserve">as critical evidence. </w:t>
      </w:r>
      <w:r>
        <w:t xml:space="preserve">On the one hand, </w:t>
      </w:r>
      <w:r w:rsidRPr="00C05938">
        <w:t xml:space="preserve">national leaders deploy financial statecraft </w:t>
      </w:r>
      <w:r w:rsidRPr="00E61BAA">
        <w:rPr>
          <w:i/>
        </w:rPr>
        <w:t>defensively</w:t>
      </w:r>
      <w:r w:rsidRPr="00C05938">
        <w:t xml:space="preserve">, as a “shield.” </w:t>
      </w:r>
      <w:r>
        <w:t>Linking our usage to Andrews’ (2006:19) terminology, the goals of defensive statecraft are “primarily internal.” Leaders’</w:t>
      </w:r>
      <w:r w:rsidRPr="00C05938">
        <w:t xml:space="preserve"> principal goal is to protect the </w:t>
      </w:r>
      <w:r w:rsidRPr="00C05938">
        <w:lastRenderedPageBreak/>
        <w:t xml:space="preserve">status quo preserving their country’s domestic economic and political autonomy. </w:t>
      </w:r>
      <w:r>
        <w:t xml:space="preserve">On the other hand, </w:t>
      </w:r>
      <w:r w:rsidRPr="00C05938">
        <w:t xml:space="preserve">policymakers may deploy financial statecraft </w:t>
      </w:r>
      <w:r w:rsidRPr="00E61BAA">
        <w:rPr>
          <w:i/>
        </w:rPr>
        <w:t>offensively</w:t>
      </w:r>
      <w:r w:rsidRPr="00C05938">
        <w:t xml:space="preserve">, as a “sword,” with the aim of </w:t>
      </w:r>
      <w:r>
        <w:t xml:space="preserve">pressuring a recalcitrant smaller power, </w:t>
      </w:r>
      <w:r w:rsidRPr="00C05938">
        <w:t>altering the international status quo</w:t>
      </w:r>
      <w:r>
        <w:t>,</w:t>
      </w:r>
      <w:r w:rsidRPr="00C05938">
        <w:t xml:space="preserve"> or </w:t>
      </w:r>
      <w:r>
        <w:t xml:space="preserve">even </w:t>
      </w:r>
      <w:r w:rsidRPr="00C05938">
        <w:t>creating leverage</w:t>
      </w:r>
      <w:r>
        <w:t xml:space="preserve"> with a close ally</w:t>
      </w:r>
      <w:r w:rsidRPr="00C05938">
        <w:t xml:space="preserve">. </w:t>
      </w:r>
      <w:r>
        <w:t xml:space="preserve">Andrews (2006: 19) would term this FS whose orientation is “primarily external.” </w:t>
      </w:r>
    </w:p>
    <w:p w:rsidR="00A62649" w:rsidRDefault="00A62649" w:rsidP="00A62649">
      <w:pPr>
        <w:spacing w:line="480" w:lineRule="auto"/>
        <w:ind w:firstLine="720"/>
      </w:pPr>
      <w:r>
        <w:t>Table 2 shows the defensive/offensive dichotomy as its horizontal dimension.</w:t>
      </w:r>
      <w:r w:rsidRPr="00C05938">
        <w:t xml:space="preserve"> These two set of g</w:t>
      </w:r>
      <w:r>
        <w:t>oals are of course interrelat</w:t>
      </w:r>
      <w:r w:rsidRPr="00A60F59">
        <w:t xml:space="preserve">ed: </w:t>
      </w:r>
      <w:r w:rsidRPr="00C05938">
        <w:t xml:space="preserve">an effective use of a shield makes </w:t>
      </w:r>
      <w:r>
        <w:t>o</w:t>
      </w:r>
      <w:r w:rsidRPr="00C05938">
        <w:t>ne’s swordplay more competitive, while a strong sword makes reliance on one’s shield somewhat</w:t>
      </w:r>
      <w:r>
        <w:t xml:space="preserve"> less critical. We acknowledge t</w:t>
      </w:r>
      <w:r w:rsidRPr="00C05938">
        <w:t>hat the true, ultimate motivations of chief executives and senior ministers cannot be known with certainty</w:t>
      </w:r>
      <w:r>
        <w:t>.</w:t>
      </w:r>
      <w:r w:rsidRPr="00C05938">
        <w:t xml:space="preserve"> </w:t>
      </w:r>
      <w:r>
        <w:t>Moreover, and a</w:t>
      </w:r>
      <w:r w:rsidRPr="00C05938">
        <w:t xml:space="preserve">s we see in the phenomenon of international arms races, actions that are conceptualized as primarily defensive by one party easily may appear hostile and aggressive to its neighbors or rivals (Jervis 1978). </w:t>
      </w:r>
      <w:r>
        <w:t xml:space="preserve">Still, </w:t>
      </w:r>
      <w:r w:rsidRPr="00C05938">
        <w:t xml:space="preserve">in most empirical cases a consensus of informed observers would be able to identify particular financial statecraft choices as </w:t>
      </w:r>
      <w:r>
        <w:t xml:space="preserve">defensive, offensive, or occasionally as </w:t>
      </w:r>
      <w:r w:rsidRPr="00C05938">
        <w:t xml:space="preserve">mixed. Within the financial statecraft toolkit, currency intervention, the buildup of large foreign exchange reserves, and even regional monetary cooperation all </w:t>
      </w:r>
      <w:r>
        <w:t xml:space="preserve">may </w:t>
      </w:r>
      <w:r w:rsidRPr="00C05938">
        <w:t xml:space="preserve">possess this </w:t>
      </w:r>
      <w:r>
        <w:t xml:space="preserve">dual </w:t>
      </w:r>
      <w:r w:rsidRPr="00C05938">
        <w:t>character.</w:t>
      </w:r>
    </w:p>
    <w:p w:rsidR="00A62649" w:rsidRPr="00076E27" w:rsidRDefault="00A62649" w:rsidP="00A62649">
      <w:pPr>
        <w:spacing w:line="480" w:lineRule="auto"/>
      </w:pPr>
      <w:r>
        <w:tab/>
        <w:t xml:space="preserve">A second dichotomous dimension distinguishes FS whose targets are “bilateral” from statecraft targeted at the global “system.” In </w:t>
      </w:r>
      <w:r w:rsidRPr="00E61BAA">
        <w:rPr>
          <w:i/>
        </w:rPr>
        <w:t>bilateral</w:t>
      </w:r>
      <w:r w:rsidRPr="00162CDA">
        <w:t xml:space="preserve"> financial statecraft, State A, the initiator, directs its efforts toward a specific sovereign target, State B, in the attempt to </w:t>
      </w:r>
      <w:r>
        <w:t>alter the target state’s</w:t>
      </w:r>
      <w:r w:rsidRPr="00162CDA">
        <w:t xml:space="preserve"> behavior or pr</w:t>
      </w:r>
      <w:r>
        <w:t>otect itself against dangerous policies pursued by the target state</w:t>
      </w:r>
      <w:r w:rsidRPr="00162CDA">
        <w:t xml:space="preserve">.  In </w:t>
      </w:r>
      <w:r w:rsidRPr="00E61BAA">
        <w:rPr>
          <w:i/>
        </w:rPr>
        <w:t>systemic</w:t>
      </w:r>
      <w:r w:rsidRPr="00162CDA">
        <w:t xml:space="preserve"> financial statecraft, State A employs its national financial capabilities in an attempt to </w:t>
      </w:r>
      <w:r w:rsidRPr="009B1E3C">
        <w:t xml:space="preserve">alter conditions in the overall international </w:t>
      </w:r>
      <w:r w:rsidRPr="008054B5">
        <w:t>system, that is, w</w:t>
      </w:r>
      <w:r w:rsidRPr="009B1E3C">
        <w:t xml:space="preserve">ithin the global political economy’s </w:t>
      </w:r>
      <w:r w:rsidRPr="00076E27">
        <w:t xml:space="preserve">processes, institutions, or norms. </w:t>
      </w:r>
      <w:r>
        <w:t xml:space="preserve">Susan Strange (1998) termed a country’s ability to shape </w:t>
      </w:r>
      <w:r>
        <w:lastRenderedPageBreak/>
        <w:t xml:space="preserve">international procedures, laws, and organizations its “structural” power; others have called it “indirect” power, while we prefer “systemic.” </w:t>
      </w:r>
      <w:r w:rsidRPr="00076E27">
        <w:t xml:space="preserve">Thus systemic </w:t>
      </w:r>
      <w:r>
        <w:t xml:space="preserve">FS </w:t>
      </w:r>
      <w:r w:rsidRPr="00076E27">
        <w:t xml:space="preserve">may seek to alter or protect against either international market conditions or the rules and institutions of international financial governance. In Table 2, </w:t>
      </w:r>
      <w:r w:rsidRPr="00076E27">
        <w:rPr>
          <w:i/>
        </w:rPr>
        <w:t>bilateral/systemic</w:t>
      </w:r>
      <w:r w:rsidRPr="00076E27">
        <w:t xml:space="preserve"> is the vertical dimension.</w:t>
      </w:r>
    </w:p>
    <w:p w:rsidR="00A62649" w:rsidRDefault="00A62649" w:rsidP="00A62649">
      <w:pPr>
        <w:spacing w:line="480" w:lineRule="auto"/>
      </w:pPr>
      <w:r>
        <w:tab/>
        <w:t xml:space="preserve">The third analytical dimension is that between statecraft that is strictly speaking “financial” and that which is “monetary.” Following many of the authors already cited, we understand as </w:t>
      </w:r>
      <w:r w:rsidRPr="00E61BAA">
        <w:rPr>
          <w:i/>
        </w:rPr>
        <w:t>financial</w:t>
      </w:r>
      <w:r>
        <w:t xml:space="preserve"> all economic statecraft involving cross-border flows of credit and investment capital, ranging from foreign aid to the regulation of portfolio capital, sovereign borrowing, or any other international investment or credit </w:t>
      </w:r>
      <w:r w:rsidRPr="00283E46">
        <w:t xml:space="preserve">flows. The </w:t>
      </w:r>
      <w:r w:rsidRPr="00E61BAA">
        <w:rPr>
          <w:i/>
        </w:rPr>
        <w:t>monetary</w:t>
      </w:r>
      <w:r w:rsidRPr="00283E46">
        <w:t xml:space="preserve"> dimension refers to </w:t>
      </w:r>
      <w:r>
        <w:t xml:space="preserve">economic </w:t>
      </w:r>
      <w:r w:rsidRPr="00283E46">
        <w:t xml:space="preserve">statecraft involving currency values </w:t>
      </w:r>
      <w:r>
        <w:t xml:space="preserve">(exchange rate levels), currency regimes (fixed, floating, or mixed), or the use of reserve currencies, each in the service of larger foreign policy goals. In Table 2, displayed in only two dimensions, each cell additionally </w:t>
      </w:r>
      <w:r w:rsidRPr="00076E27">
        <w:t>is divided into financial and monetary dimensions. In some cases, a given modality of financial statecraft may display a dual character. This category we label “</w:t>
      </w:r>
      <w:r>
        <w:t>b</w:t>
      </w:r>
      <w:r w:rsidRPr="00076E27">
        <w:t>oth.”</w:t>
      </w:r>
    </w:p>
    <w:p w:rsidR="00A62649" w:rsidRPr="00076E27" w:rsidRDefault="00A62649" w:rsidP="00A62649">
      <w:pPr>
        <w:spacing w:line="480" w:lineRule="auto"/>
      </w:pPr>
    </w:p>
    <w:p w:rsidR="00A62649" w:rsidRPr="00076E27" w:rsidRDefault="00A62649" w:rsidP="00A62649">
      <w:pPr>
        <w:spacing w:line="480" w:lineRule="auto"/>
        <w:ind w:firstLine="720"/>
        <w:jc w:val="center"/>
      </w:pPr>
      <w:r w:rsidRPr="00076E27">
        <w:t>&lt; Table 2. Forms of Financial Statecraft, about here &gt;</w:t>
      </w:r>
    </w:p>
    <w:p w:rsidR="00A62649" w:rsidRDefault="00A62649" w:rsidP="00A62649">
      <w:pPr>
        <w:spacing w:line="480" w:lineRule="auto"/>
      </w:pPr>
    </w:p>
    <w:p w:rsidR="00A62649" w:rsidRDefault="00A62649" w:rsidP="00A62649">
      <w:pPr>
        <w:spacing w:line="480" w:lineRule="auto"/>
      </w:pPr>
      <w:r w:rsidRPr="00076E27">
        <w:tab/>
        <w:t>The four empirical sections that follow discuss each broad type of FS, as determined by the intersection of the two most important analytical dimensions, shield as contrasted to sword (defense/offense), and oriented toward a specific partner or rival state versus toward the global environment for financial interactions (bilateral/</w:t>
      </w:r>
      <w:r>
        <w:t>systemic). We discuss the four cells in the order most convenient for our expository purposes, beginning with the upper left-hand cell.</w:t>
      </w:r>
    </w:p>
    <w:p w:rsidR="00A62649" w:rsidRDefault="00A62649" w:rsidP="00A62649">
      <w:pPr>
        <w:spacing w:line="480" w:lineRule="auto"/>
      </w:pPr>
    </w:p>
    <w:p w:rsidR="00A62649" w:rsidRDefault="00A62649" w:rsidP="00A62649">
      <w:pPr>
        <w:spacing w:line="480" w:lineRule="auto"/>
      </w:pPr>
      <w:r>
        <w:rPr>
          <w:b/>
        </w:rPr>
        <w:lastRenderedPageBreak/>
        <w:t>III. Defensive and Bilateral Financial Statecraft: Shielding Attempts by the Weak</w:t>
      </w:r>
    </w:p>
    <w:p w:rsidR="00A62649" w:rsidRPr="00076E27" w:rsidRDefault="00A62649" w:rsidP="00A62649">
      <w:pPr>
        <w:spacing w:line="480" w:lineRule="auto"/>
      </w:pPr>
      <w:r w:rsidRPr="009E02FB">
        <w:rPr>
          <w:color w:val="FF0000"/>
        </w:rPr>
        <w:tab/>
      </w:r>
      <w:r w:rsidRPr="00076E27">
        <w:t xml:space="preserve">Comparatively weak and vulnerable states, </w:t>
      </w:r>
      <w:r>
        <w:t xml:space="preserve">often </w:t>
      </w:r>
      <w:r w:rsidRPr="00076E27">
        <w:t>developing countries, have often resorted to defensive and bilateral financial statecraft to shield themselves against influence from strong and financially-capable advanced industrial countries. This is the strategy in the upper left-hand cell of Table 2. Here State A</w:t>
      </w:r>
      <w:r>
        <w:t xml:space="preserve">, the active party, attempts to defend itself against what it perceives as dangerous or threatening behavior by </w:t>
      </w:r>
      <w:r w:rsidRPr="00076E27">
        <w:t>State B.</w:t>
      </w:r>
    </w:p>
    <w:p w:rsidR="00A62649" w:rsidRPr="009F09A8" w:rsidRDefault="00A62649" w:rsidP="00A62649">
      <w:pPr>
        <w:spacing w:line="480" w:lineRule="auto"/>
      </w:pPr>
      <w:r>
        <w:tab/>
      </w:r>
      <w:r w:rsidRPr="000D3C1F">
        <w:t>Many Latin American countries, including Argentina, Brazil, Chile, Peru</w:t>
      </w:r>
      <w:r>
        <w:t>,</w:t>
      </w:r>
      <w:r w:rsidRPr="000D3C1F">
        <w:t xml:space="preserve"> and Mexico, encountered their first post-independence </w:t>
      </w:r>
      <w:r>
        <w:t xml:space="preserve">financial crises as early as </w:t>
      </w:r>
      <w:r w:rsidRPr="000D3C1F">
        <w:t xml:space="preserve">the </w:t>
      </w:r>
      <w:r>
        <w:t xml:space="preserve">1820s, and then again in the </w:t>
      </w:r>
      <w:r w:rsidRPr="000D3C1F">
        <w:t>1880s</w:t>
      </w:r>
      <w:r>
        <w:t>,</w:t>
      </w:r>
      <w:r w:rsidRPr="000D3C1F">
        <w:t xml:space="preserve"> when they experienced the familiar pattern of high exposure to foreign debt, currency crisis, and bank failures.</w:t>
      </w:r>
      <w:r w:rsidRPr="000D3C1F">
        <w:rPr>
          <w:rStyle w:val="EndnoteReference"/>
        </w:rPr>
        <w:endnoteReference w:id="2"/>
      </w:r>
      <w:r w:rsidRPr="000D3C1F">
        <w:t xml:space="preserve"> For a century thereafter, the principal financial shields available to weak states were debt default or sovereign expropriation of foreign direct investment (FDI), actions that not infrequently provoked a military response</w:t>
      </w:r>
      <w:r>
        <w:t>--</w:t>
      </w:r>
      <w:r w:rsidRPr="000D3C1F">
        <w:t>so-called gunboat diplomacy</w:t>
      </w:r>
      <w:r>
        <w:t>--</w:t>
      </w:r>
      <w:r w:rsidRPr="000D3C1F">
        <w:t>from the gov</w:t>
      </w:r>
      <w:r>
        <w:t>ernment of the injured creditor</w:t>
      </w:r>
      <w:r w:rsidRPr="000D3C1F">
        <w:t xml:space="preserve">. The wave of financial crises </w:t>
      </w:r>
      <w:r>
        <w:t xml:space="preserve">in </w:t>
      </w:r>
      <w:r w:rsidRPr="000D3C1F">
        <w:t>1929</w:t>
      </w:r>
      <w:r>
        <w:t>-30, associated with the U.S.</w:t>
      </w:r>
      <w:r w:rsidRPr="000D3C1F">
        <w:t xml:space="preserve"> stock market crash and subsequent drastic decline in demand for commodity exports</w:t>
      </w:r>
      <w:r>
        <w:t>,</w:t>
      </w:r>
      <w:r w:rsidRPr="000D3C1F">
        <w:t xml:space="preserve"> provoked coups and changes of government throughout Latin America. Then from the 1950s onwards, the governments of the larger countries in the region partially withd</w:t>
      </w:r>
      <w:r>
        <w:t xml:space="preserve">rew from international markets and </w:t>
      </w:r>
      <w:r w:rsidRPr="000D3C1F">
        <w:t>turn</w:t>
      </w:r>
      <w:r>
        <w:t>ed</w:t>
      </w:r>
      <w:r w:rsidRPr="000D3C1F">
        <w:t xml:space="preserve"> to inward-looking i</w:t>
      </w:r>
      <w:r w:rsidRPr="009F09A8">
        <w:t xml:space="preserve">ndustrialization in part with the intent of shielding themselves from imported volatility. In the 1970s, cheap loans from global markets exposed the region to massive financial inflows. In the early 1980s, Latin America’s debt crisis exploded plunging many countries into a “lost decade” of low or even negative per capita growth (Devlin 1989; Pastor 1992; </w:t>
      </w:r>
      <w:proofErr w:type="spellStart"/>
      <w:r w:rsidRPr="009F09A8">
        <w:t>Frieden</w:t>
      </w:r>
      <w:proofErr w:type="spellEnd"/>
      <w:r w:rsidRPr="009F09A8">
        <w:t xml:space="preserve"> 1991, 2007). In the 1980s, the IMF acted, at least in the view of peripheral governments, as the enforcer for creditor countries imposing drastic domestic policy change in exchange for </w:t>
      </w:r>
      <w:r>
        <w:t xml:space="preserve">new </w:t>
      </w:r>
      <w:r w:rsidRPr="009F09A8">
        <w:t xml:space="preserve">loans to make payment on crushing foreign debt. </w:t>
      </w:r>
      <w:r>
        <w:t xml:space="preserve">Although </w:t>
      </w:r>
      <w:r>
        <w:lastRenderedPageBreak/>
        <w:t>some Latin American governments attempted bilateral shielding strategies such as debt repudiation or the seizure of foreign direct investment assets, these proved unsuccessful. Although creditor country governments today are less likely to invade defaulted sovereign debtors with gunboats, they can effectively exclude debtor countries from global financial markets.</w:t>
      </w:r>
    </w:p>
    <w:p w:rsidR="00A62649" w:rsidRDefault="00A62649" w:rsidP="00A62649">
      <w:pPr>
        <w:spacing w:line="480" w:lineRule="auto"/>
      </w:pPr>
      <w:r w:rsidRPr="009F09A8">
        <w:tab/>
        <w:t>During this decade, Latin American governments</w:t>
      </w:r>
      <w:r>
        <w:t xml:space="preserve"> occasionally </w:t>
      </w:r>
      <w:r w:rsidRPr="009F09A8">
        <w:t xml:space="preserve">sought to develop </w:t>
      </w:r>
      <w:r>
        <w:t xml:space="preserve">more </w:t>
      </w:r>
      <w:r w:rsidRPr="009F09A8">
        <w:t>sophisticated financial shields</w:t>
      </w:r>
      <w:r>
        <w:t>, but</w:t>
      </w:r>
      <w:r w:rsidRPr="009F09A8">
        <w:t xml:space="preserve"> without much success. In 1983</w:t>
      </w:r>
      <w:r>
        <w:t>,</w:t>
      </w:r>
      <w:r w:rsidRPr="009F09A8">
        <w:t xml:space="preserve"> the Colombian government attempted to rally its fellow Latin American debtors to negotiate </w:t>
      </w:r>
      <w:r>
        <w:t>collectively</w:t>
      </w:r>
      <w:r w:rsidRPr="009F09A8">
        <w:t xml:space="preserve"> with </w:t>
      </w:r>
      <w:r>
        <w:t xml:space="preserve">foreign </w:t>
      </w:r>
      <w:r w:rsidRPr="009F09A8">
        <w:t xml:space="preserve">creditors. This embryonic effort of Latin American governments to negotiate jointly, derided in the dominant countries’ press as a debtors’ “cartel,” quickly died </w:t>
      </w:r>
      <w:r>
        <w:t>due to</w:t>
      </w:r>
      <w:r w:rsidRPr="009F09A8">
        <w:t xml:space="preserve"> nimble U.S. diplomacy and intra-Latin-American suspicion.</w:t>
      </w:r>
      <w:r w:rsidRPr="009F09A8">
        <w:rPr>
          <w:rStyle w:val="EndnoteReference"/>
        </w:rPr>
        <w:endnoteReference w:id="3"/>
      </w:r>
      <w:r w:rsidRPr="009F09A8">
        <w:t xml:space="preserve"> Major private bank creditors from the advanced industrial countries</w:t>
      </w:r>
      <w:r>
        <w:t>, in contrast,</w:t>
      </w:r>
      <w:r w:rsidRPr="009F09A8">
        <w:t xml:space="preserve"> </w:t>
      </w:r>
      <w:r>
        <w:t xml:space="preserve">successfully </w:t>
      </w:r>
      <w:r w:rsidRPr="009F09A8">
        <w:t>enlisted their governments’ diplomatic and intelligence support</w:t>
      </w:r>
      <w:r>
        <w:t>. They</w:t>
      </w:r>
      <w:r w:rsidRPr="009F09A8">
        <w:t xml:space="preserve"> formed a joint creditor committee known as the London Club, and successively </w:t>
      </w:r>
      <w:r w:rsidRPr="002E71D3">
        <w:t>isolated each debtor government by negotiating bilaterally with it (</w:t>
      </w:r>
      <w:proofErr w:type="spellStart"/>
      <w:r w:rsidRPr="002E71D3">
        <w:t>Biersteker</w:t>
      </w:r>
      <w:proofErr w:type="spellEnd"/>
      <w:r w:rsidRPr="002E71D3">
        <w:t>, ed.1993).</w:t>
      </w:r>
      <w:r w:rsidRPr="009F09A8">
        <w:t xml:space="preserve"> </w:t>
      </w:r>
    </w:p>
    <w:p w:rsidR="00A62649" w:rsidRDefault="00A62649" w:rsidP="00A62649">
      <w:pPr>
        <w:spacing w:line="480" w:lineRule="auto"/>
      </w:pPr>
      <w:r>
        <w:tab/>
      </w:r>
      <w:r w:rsidRPr="009F09A8">
        <w:t xml:space="preserve">Thereafter, debtor governments </w:t>
      </w:r>
      <w:r>
        <w:t xml:space="preserve">had few </w:t>
      </w:r>
      <w:r w:rsidRPr="009F09A8">
        <w:t>option</w:t>
      </w:r>
      <w:r>
        <w:t>s</w:t>
      </w:r>
      <w:r w:rsidRPr="009F09A8">
        <w:t xml:space="preserve"> but to turn to neoliberal reforms, accepting the international financial institutions’ (IFIs) reform ag</w:t>
      </w:r>
      <w:r>
        <w:t>enda targeting over-regulated and inward-looking economies, industrial sclerosis, and fis</w:t>
      </w:r>
      <w:r w:rsidRPr="00A035EB">
        <w:t>cal profligacy. While many of these reforms proved useful</w:t>
      </w:r>
      <w:r>
        <w:t xml:space="preserve"> and </w:t>
      </w:r>
      <w:r w:rsidRPr="00A035EB">
        <w:t>creat</w:t>
      </w:r>
      <w:r>
        <w:t>ed</w:t>
      </w:r>
      <w:r w:rsidRPr="00A035EB">
        <w:t xml:space="preserve"> the conditions for macroeconomic stability in countries with a recent history of hyperinflation, they were imposed from abroad and incurred significant social and political costs. The terms of the bailouts meant that virtually all of the new loans went to repay creditors, usually in the co</w:t>
      </w:r>
      <w:r>
        <w:t xml:space="preserve">ntext of drastic cuts in both social and investment spending in debtor countries. Major U.S., European, and Japanese banks, whose aggressive lending tactics in </w:t>
      </w:r>
      <w:r>
        <w:lastRenderedPageBreak/>
        <w:t>the 1970s encouraged often reluctant Latin American governments to borrow more than they could afford (</w:t>
      </w:r>
      <w:proofErr w:type="spellStart"/>
      <w:r w:rsidRPr="008054B5">
        <w:t>Darity</w:t>
      </w:r>
      <w:proofErr w:type="spellEnd"/>
      <w:r w:rsidRPr="008054B5">
        <w:t xml:space="preserve"> and Horn 1988</w:t>
      </w:r>
      <w:r w:rsidRPr="00D221CF">
        <w:t xml:space="preserve">) </w:t>
      </w:r>
      <w:r>
        <w:t>did not share the pain of adjustment.</w:t>
      </w:r>
    </w:p>
    <w:p w:rsidR="00A62649" w:rsidRDefault="00A62649" w:rsidP="00A62649">
      <w:pPr>
        <w:spacing w:line="480" w:lineRule="auto"/>
      </w:pPr>
      <w:r>
        <w:tab/>
        <w:t>Latin American governments still occasionally attempt dramatic bilateral shielding strategies. Argentina’s default on $100 billion in sovereign bonds in late December 2001, then the largest sovereign default in history, is a case in point.</w:t>
      </w:r>
      <w:r>
        <w:rPr>
          <w:rStyle w:val="EndnoteReference"/>
        </w:rPr>
        <w:endnoteReference w:id="4"/>
      </w:r>
      <w:r>
        <w:t xml:space="preserve"> After enduring an enormous domestic economic and financial crisis, Argentina unilaterally swapped the defaulted debt for new bonds, forcing a substantial “haircut’ on its creditors. Most creditors accepted the new bonds, allowing Argentina fitfully and partially to return to international financial markets from 2005 on, assisted by bilateral sovereign lending from China and Venezuela </w:t>
      </w:r>
      <w:r w:rsidRPr="002E71D3">
        <w:t>(</w:t>
      </w:r>
      <w:proofErr w:type="spellStart"/>
      <w:r w:rsidRPr="002E71D3">
        <w:t>Labaqui</w:t>
      </w:r>
      <w:proofErr w:type="spellEnd"/>
      <w:r w:rsidRPr="002E71D3">
        <w:t xml:space="preserve"> 2012</w:t>
      </w:r>
      <w:r>
        <w:t>). However, as of September 2013, two U.S. bond funds, holdout creditors from the 2001 default, continued to pursue legal judgments against Argentina in U.S. courts, immensely complicating Argentine finances, while the government of President Cristina Fernandez was petitioning the U.S. Supreme Court to hear the case (Andrade 2013).</w:t>
      </w:r>
    </w:p>
    <w:p w:rsidR="00A62649" w:rsidRPr="00442634" w:rsidRDefault="00A62649" w:rsidP="00A62649">
      <w:pPr>
        <w:spacing w:line="480" w:lineRule="auto"/>
      </w:pPr>
      <w:r w:rsidRPr="00C05938">
        <w:tab/>
        <w:t xml:space="preserve">Until recently, Asian developing economies had a somewhat different trajectory from Latin America. For many Asian polities under colonial rule through the Second World War, even such crude attempts to exercise defensive financial statecraft as sovereign defaults and nationalizations were of course impossible. Colonies’ economic regulatory policies—including monetary, exchange, and banking policies—were quite explicitly run to suit the needs of the colonial powers (de </w:t>
      </w:r>
      <w:proofErr w:type="spellStart"/>
      <w:r w:rsidRPr="00C05938">
        <w:t>Cecco</w:t>
      </w:r>
      <w:proofErr w:type="spellEnd"/>
      <w:r w:rsidRPr="00C05938">
        <w:t xml:space="preserve"> 1974). For example, Indian intellectuals from the 1880s through independence in 1947 repeatedly complained about the rupee-sterling exchange rate, administratively set in London and arguably responsible for heedlessly deepening financial crises in India prior to</w:t>
      </w:r>
      <w:r>
        <w:t xml:space="preserve"> independence</w:t>
      </w:r>
      <w:r w:rsidRPr="00C05938">
        <w:t xml:space="preserve">. By the 1960s and 1970s, Asian economies such as South Korea and Taiwan had integrated into the global economy as newly-industrializing “tigers” exporting </w:t>
      </w:r>
      <w:r w:rsidRPr="00C05938">
        <w:lastRenderedPageBreak/>
        <w:t xml:space="preserve">increasingly sophisticated manufactured goods, while nonetheless retaining high barriers for imports, and in most cases </w:t>
      </w:r>
      <w:r>
        <w:t xml:space="preserve">also </w:t>
      </w:r>
      <w:r w:rsidRPr="00C05938">
        <w:t xml:space="preserve">against foreign lenders and </w:t>
      </w:r>
      <w:r w:rsidRPr="00D221CF">
        <w:t>investors (</w:t>
      </w:r>
      <w:r w:rsidRPr="008054B5">
        <w:t xml:space="preserve">Wade 2004, </w:t>
      </w:r>
      <w:proofErr w:type="spellStart"/>
      <w:r w:rsidRPr="008054B5">
        <w:t>Amsden</w:t>
      </w:r>
      <w:proofErr w:type="spellEnd"/>
      <w:r>
        <w:t xml:space="preserve"> 1992</w:t>
      </w:r>
      <w:r w:rsidRPr="008054B5">
        <w:t>)</w:t>
      </w:r>
      <w:r w:rsidRPr="00D221CF">
        <w:t>.</w:t>
      </w:r>
      <w:r w:rsidRPr="00C05938">
        <w:t xml:space="preserve"> In order to direct the allocation of capital in the economy fo</w:t>
      </w:r>
      <w:r>
        <w:t xml:space="preserve">r industrialization and export </w:t>
      </w:r>
      <w:r w:rsidRPr="00C05938">
        <w:t xml:space="preserve">promotion, East Asian governments engaged in financial repression </w:t>
      </w:r>
      <w:r>
        <w:t xml:space="preserve">as governments imposed control over </w:t>
      </w:r>
      <w:r w:rsidRPr="00C05938">
        <w:t>credit, entry, and interest rate</w:t>
      </w:r>
      <w:r>
        <w:t xml:space="preserve">s. Such financially repressed economies retained greater autonomy from foreign financial pressure, but </w:t>
      </w:r>
      <w:r w:rsidRPr="00C05938">
        <w:t xml:space="preserve">the growth of </w:t>
      </w:r>
      <w:r>
        <w:t xml:space="preserve">domestic </w:t>
      </w:r>
      <w:r w:rsidRPr="00C05938">
        <w:t>financial markets</w:t>
      </w:r>
      <w:r>
        <w:t xml:space="preserve"> was stunted </w:t>
      </w:r>
      <w:r w:rsidRPr="000D3C1F">
        <w:t>(</w:t>
      </w:r>
      <w:proofErr w:type="spellStart"/>
      <w:r w:rsidRPr="00442634">
        <w:t>Lukauskas</w:t>
      </w:r>
      <w:proofErr w:type="spellEnd"/>
      <w:r w:rsidRPr="00442634">
        <w:t xml:space="preserve"> 2002</w:t>
      </w:r>
      <w:r>
        <w:t xml:space="preserve">; Henning and </w:t>
      </w:r>
      <w:proofErr w:type="spellStart"/>
      <w:r>
        <w:t>Katada</w:t>
      </w:r>
      <w:proofErr w:type="spellEnd"/>
      <w:r>
        <w:t xml:space="preserve"> forthcoming</w:t>
      </w:r>
      <w:r w:rsidRPr="00442634">
        <w:t>).</w:t>
      </w:r>
    </w:p>
    <w:p w:rsidR="00A62649" w:rsidRPr="000D3C1F" w:rsidRDefault="00A62649" w:rsidP="00A62649">
      <w:pPr>
        <w:spacing w:line="480" w:lineRule="auto"/>
        <w:ind w:firstLine="720"/>
      </w:pPr>
      <w:r w:rsidRPr="006F5BDB">
        <w:t xml:space="preserve">The Asian </w:t>
      </w:r>
      <w:r>
        <w:t>financial crisis (AFC) of 1997-8</w:t>
      </w:r>
      <w:r w:rsidRPr="006F5BDB">
        <w:t xml:space="preserve"> cast doubt on the </w:t>
      </w:r>
      <w:r>
        <w:t xml:space="preserve">future </w:t>
      </w:r>
      <w:r w:rsidRPr="006F5BDB">
        <w:t xml:space="preserve">prospects </w:t>
      </w:r>
      <w:r>
        <w:t xml:space="preserve">for this </w:t>
      </w:r>
      <w:r w:rsidRPr="006F5BDB">
        <w:t xml:space="preserve">developmental model in the region (Haggard 2000; </w:t>
      </w:r>
      <w:proofErr w:type="spellStart"/>
      <w:r w:rsidRPr="006F5BDB">
        <w:t>MacIntyre</w:t>
      </w:r>
      <w:proofErr w:type="spellEnd"/>
      <w:r w:rsidRPr="006F5BDB">
        <w:t xml:space="preserve"> 2001; Armijo 2002; Sheng 2009). Although aggressive financial globalization would share a part of the blame for the crisis, the so-called “Washington Consensus” institutions convinced the world that it was the distorted domestic financial and economic structures of the debtor countries that </w:t>
      </w:r>
      <w:r>
        <w:t xml:space="preserve">had </w:t>
      </w:r>
      <w:r w:rsidRPr="006F5BDB">
        <w:t>invited the crises (Wade 1998, Hall 2003). Hence, the crisis-ridden Asian governments that turned to the IFIs for emergency loan access and the seal of approval necessar</w:t>
      </w:r>
      <w:r w:rsidRPr="00B43237">
        <w:t xml:space="preserve">y for a return to international financial markets received the same neoliberal prescription for economic stabilization and structural </w:t>
      </w:r>
      <w:r w:rsidRPr="000D3C1F">
        <w:t>adjustment</w:t>
      </w:r>
      <w:r>
        <w:t xml:space="preserve"> as had Latin American governments in the 1980s</w:t>
      </w:r>
      <w:r w:rsidRPr="000D3C1F">
        <w:t xml:space="preserve">. </w:t>
      </w:r>
      <w:r>
        <w:t xml:space="preserve">Notably, these </w:t>
      </w:r>
      <w:proofErr w:type="spellStart"/>
      <w:r>
        <w:t>contractionary</w:t>
      </w:r>
      <w:proofErr w:type="spellEnd"/>
      <w:r>
        <w:t xml:space="preserve"> policies were even less relevant to the East Asian than the Latin American reality, as most affected Asian governments had had neither hyperinflation nor extensive public sector debts </w:t>
      </w:r>
      <w:r w:rsidRPr="002E71D3">
        <w:t>prior to the onslaught of the crisis itself (</w:t>
      </w:r>
      <w:proofErr w:type="spellStart"/>
      <w:r w:rsidRPr="002E71D3">
        <w:t>Blustein</w:t>
      </w:r>
      <w:proofErr w:type="spellEnd"/>
      <w:r w:rsidRPr="002E71D3">
        <w:t xml:space="preserve"> 2001; </w:t>
      </w:r>
      <w:proofErr w:type="spellStart"/>
      <w:r w:rsidRPr="002E71D3">
        <w:t>Stiglitz</w:t>
      </w:r>
      <w:proofErr w:type="spellEnd"/>
      <w:r w:rsidRPr="002E71D3">
        <w:t xml:space="preserve"> 2002).</w:t>
      </w:r>
      <w:r>
        <w:t xml:space="preserve"> </w:t>
      </w:r>
    </w:p>
    <w:p w:rsidR="00A62649" w:rsidRDefault="00A62649" w:rsidP="00A62649">
      <w:pPr>
        <w:spacing w:line="480" w:lineRule="auto"/>
      </w:pPr>
      <w:r>
        <w:tab/>
        <w:t xml:space="preserve">Turning to defensive and bilateral </w:t>
      </w:r>
      <w:r w:rsidRPr="00EC0070">
        <w:rPr>
          <w:i/>
        </w:rPr>
        <w:t>monetary</w:t>
      </w:r>
      <w:r>
        <w:t xml:space="preserve"> statecraft, the shielding options available to weaker states historica</w:t>
      </w:r>
      <w:r w:rsidRPr="000E1840">
        <w:t xml:space="preserve">lly are again limited. Louis W. </w:t>
      </w:r>
      <w:proofErr w:type="spellStart"/>
      <w:r w:rsidRPr="002E71D3">
        <w:t>Pauly</w:t>
      </w:r>
      <w:proofErr w:type="spellEnd"/>
      <w:r w:rsidRPr="002E71D3">
        <w:t xml:space="preserve"> (2006) c</w:t>
      </w:r>
      <w:r w:rsidRPr="000E1840">
        <w:t xml:space="preserve">ontrasts the cases of Canada and Austria, both small countries vis-à-vis large neighbors.  He argues that Canadian government elected to maintain domestic monetary policy autonomy through flexible exchange rate policy </w:t>
      </w:r>
      <w:r w:rsidRPr="000E1840">
        <w:lastRenderedPageBreak/>
        <w:t xml:space="preserve">and regular imposition of capital controls, while Austria preferred to import Germany’s stable and conservative macroeconomic policies by tightly fixing to the deutschmark. </w:t>
      </w:r>
      <w:r>
        <w:t>Through the AFC of the late 1990s, most developing countries in Latin America and Asia followed the Austrian path. Arguably, however, fixed exchange rate regimes played a major role in provoking or at least permitting the waves of financial crises that hit developing countries in the 1980s and 1990s.</w:t>
      </w:r>
    </w:p>
    <w:p w:rsidR="00A62649" w:rsidRDefault="00A62649" w:rsidP="00A62649">
      <w:pPr>
        <w:spacing w:line="480" w:lineRule="auto"/>
      </w:pPr>
      <w:r w:rsidRPr="004A7361">
        <w:tab/>
        <w:t>In sum, although they have a long tradition of being used,</w:t>
      </w:r>
      <w:r w:rsidRPr="00FB5D10">
        <w:rPr>
          <w:color w:val="FF0000"/>
        </w:rPr>
        <w:t xml:space="preserve"> </w:t>
      </w:r>
      <w:r>
        <w:t>the options available to countries forced to rely on bilateral financial shields against what looks to their leaders like the predatory financial statecraft of powerful neighbors have been relatively ineffective. As this has been the situation of most developing countries, their leaders have been eager to discover policy options that will allow them to escape this trap.</w:t>
      </w:r>
    </w:p>
    <w:p w:rsidR="00A62649" w:rsidRDefault="00A62649" w:rsidP="00A62649">
      <w:pPr>
        <w:spacing w:line="480" w:lineRule="auto"/>
        <w:rPr>
          <w:b/>
        </w:rPr>
      </w:pPr>
    </w:p>
    <w:p w:rsidR="00A62649" w:rsidRPr="00985539" w:rsidRDefault="00A62649" w:rsidP="00A62649">
      <w:pPr>
        <w:spacing w:line="480" w:lineRule="auto"/>
        <w:rPr>
          <w:b/>
        </w:rPr>
      </w:pPr>
      <w:r>
        <w:rPr>
          <w:b/>
        </w:rPr>
        <w:t>IV</w:t>
      </w:r>
      <w:r w:rsidRPr="00985539">
        <w:rPr>
          <w:b/>
        </w:rPr>
        <w:t xml:space="preserve">. Offensive and Bilateral Financial Statecraft: Sanctions, </w:t>
      </w:r>
      <w:r>
        <w:rPr>
          <w:b/>
        </w:rPr>
        <w:t xml:space="preserve">Bribes, </w:t>
      </w:r>
      <w:r w:rsidRPr="00985539">
        <w:rPr>
          <w:b/>
        </w:rPr>
        <w:t>and Currency Coercion</w:t>
      </w:r>
    </w:p>
    <w:p w:rsidR="00A62649" w:rsidRDefault="00A62649" w:rsidP="00A62649">
      <w:pPr>
        <w:spacing w:line="480" w:lineRule="auto"/>
        <w:ind w:firstLine="720"/>
        <w:rPr>
          <w:iCs/>
        </w:rPr>
      </w:pPr>
      <w:r>
        <w:t xml:space="preserve">The most traditional understanding of financial statecraft assumes that it is offensive in intent and directed bilaterally toward a specific target state, </w:t>
      </w:r>
      <w:r w:rsidRPr="00EA71C9">
        <w:t>as shown in Table 2’s upper right-hand corner. B</w:t>
      </w:r>
      <w:r>
        <w:t xml:space="preserve">ilateral and assertive actions include sanctions, bribes, and currency coercion. </w:t>
      </w:r>
      <w:r w:rsidRPr="000D3C1F">
        <w:t xml:space="preserve">Thus </w:t>
      </w:r>
      <w:proofErr w:type="spellStart"/>
      <w:r w:rsidRPr="000D3C1F">
        <w:t>Steil</w:t>
      </w:r>
      <w:proofErr w:type="spellEnd"/>
      <w:r w:rsidRPr="000D3C1F">
        <w:t xml:space="preserve"> and </w:t>
      </w:r>
      <w:proofErr w:type="spellStart"/>
      <w:r w:rsidRPr="000D3C1F">
        <w:t>Litan</w:t>
      </w:r>
      <w:proofErr w:type="spellEnd"/>
      <w:r w:rsidRPr="000D3C1F">
        <w:t xml:space="preserve"> (2006:4) refer to financial statecraft as </w:t>
      </w:r>
      <w:r w:rsidRPr="000D3C1F">
        <w:rPr>
          <w:iCs/>
        </w:rPr>
        <w:t xml:space="preserve">“those aspects of economic statecraft that are directed at influencing [international] capital flows.” Their interest is in the use of these capital flows mainly for traditional security and foreign policy goals, and </w:t>
      </w:r>
      <w:r>
        <w:rPr>
          <w:iCs/>
        </w:rPr>
        <w:t xml:space="preserve">primarily </w:t>
      </w:r>
      <w:r w:rsidRPr="000D3C1F">
        <w:rPr>
          <w:iCs/>
        </w:rPr>
        <w:t xml:space="preserve">against a specific foreign target state. </w:t>
      </w:r>
      <w:r>
        <w:rPr>
          <w:iCs/>
        </w:rPr>
        <w:t>Bilateral and offensive FS may involve both threats and rewards to the target. Its instruments include</w:t>
      </w:r>
      <w:r w:rsidRPr="000D3C1F">
        <w:rPr>
          <w:iCs/>
        </w:rPr>
        <w:t xml:space="preserve"> capital flow guarantees and restrictions, </w:t>
      </w:r>
      <w:r>
        <w:rPr>
          <w:iCs/>
        </w:rPr>
        <w:t xml:space="preserve">or </w:t>
      </w:r>
      <w:r w:rsidRPr="000D3C1F">
        <w:rPr>
          <w:iCs/>
        </w:rPr>
        <w:t>financial sanctions on state and non-state actors</w:t>
      </w:r>
      <w:r>
        <w:rPr>
          <w:iCs/>
        </w:rPr>
        <w:t>—as well as</w:t>
      </w:r>
      <w:r w:rsidRPr="000D3C1F">
        <w:rPr>
          <w:iCs/>
        </w:rPr>
        <w:t xml:space="preserve"> government decisions to underwrite foreign debt in a </w:t>
      </w:r>
      <w:r w:rsidRPr="000D3C1F">
        <w:rPr>
          <w:iCs/>
        </w:rPr>
        <w:lastRenderedPageBreak/>
        <w:t xml:space="preserve">currency crisis, </w:t>
      </w:r>
      <w:r>
        <w:rPr>
          <w:iCs/>
        </w:rPr>
        <w:t>or to aid weaker partners by creating currency unions</w:t>
      </w:r>
      <w:r w:rsidRPr="000D3C1F">
        <w:rPr>
          <w:iCs/>
        </w:rPr>
        <w:t xml:space="preserve"> or </w:t>
      </w:r>
      <w:r>
        <w:rPr>
          <w:iCs/>
        </w:rPr>
        <w:t xml:space="preserve">allowing them to opt for dollarization. </w:t>
      </w:r>
    </w:p>
    <w:p w:rsidR="00A62649" w:rsidRPr="004A7361" w:rsidRDefault="00A62649" w:rsidP="00A62649">
      <w:pPr>
        <w:spacing w:line="480" w:lineRule="auto"/>
        <w:ind w:firstLine="720"/>
        <w:rPr>
          <w:iCs/>
        </w:rPr>
      </w:pPr>
      <w:r>
        <w:rPr>
          <w:iCs/>
        </w:rPr>
        <w:t>Many authors have assumed that only major powers can exercise offensive bilateral financial statecraft. Thus w</w:t>
      </w:r>
      <w:r w:rsidRPr="000D3C1F">
        <w:rPr>
          <w:iCs/>
        </w:rPr>
        <w:t xml:space="preserve">ork by </w:t>
      </w:r>
      <w:proofErr w:type="spellStart"/>
      <w:r w:rsidRPr="000D3C1F">
        <w:rPr>
          <w:iCs/>
        </w:rPr>
        <w:t>Hufbauer</w:t>
      </w:r>
      <w:proofErr w:type="spellEnd"/>
      <w:r w:rsidRPr="000D3C1F">
        <w:rPr>
          <w:iCs/>
        </w:rPr>
        <w:t xml:space="preserve"> e</w:t>
      </w:r>
      <w:r>
        <w:rPr>
          <w:iCs/>
        </w:rPr>
        <w:t>t</w:t>
      </w:r>
      <w:r w:rsidRPr="000D3C1F">
        <w:rPr>
          <w:iCs/>
        </w:rPr>
        <w:t xml:space="preserve">. al. </w:t>
      </w:r>
      <w:r>
        <w:rPr>
          <w:iCs/>
        </w:rPr>
        <w:t xml:space="preserve">(2009) </w:t>
      </w:r>
      <w:r w:rsidRPr="000D3C1F">
        <w:rPr>
          <w:iCs/>
        </w:rPr>
        <w:t>on economic sanctions imposed between 1914 and 2006 statistically analyzes the characteristics of the home and target of the sanctions as well as the indicators of success. These scholars propose that the size differential between the home state (which imposes the sanction) and the target state (the sanction’s recipient) has to be at least 10 to 1 for the sanctions to be minimally feasible, and that the sanction must amount to at least 1 percent of the target’s GNP for it to be effective.</w:t>
      </w:r>
      <w:r>
        <w:rPr>
          <w:iCs/>
        </w:rPr>
        <w:t xml:space="preserve"> </w:t>
      </w:r>
      <w:r w:rsidRPr="000D3C1F">
        <w:rPr>
          <w:iCs/>
        </w:rPr>
        <w:t>By setting the bar for potential real-world significance so high</w:t>
      </w:r>
      <w:r w:rsidRPr="00C05938">
        <w:rPr>
          <w:iCs/>
        </w:rPr>
        <w:t>, most previous research has limited the studies of financial statecraft</w:t>
      </w:r>
      <w:r>
        <w:rPr>
          <w:iCs/>
        </w:rPr>
        <w:t xml:space="preserve"> by emerging economies, even </w:t>
      </w:r>
      <w:r w:rsidRPr="00C05938">
        <w:rPr>
          <w:iCs/>
        </w:rPr>
        <w:t xml:space="preserve">those possessed of substantial economic and financial capabilities. </w:t>
      </w:r>
      <w:r>
        <w:rPr>
          <w:iCs/>
        </w:rPr>
        <w:t>Examples of financial sanctions employed by emerging powers are as yet hard to find, although India has quite aggressively used the threat of withdrawal of access to its enormous domestic market to “bargain” for trade and political concessions from Nepal and its other smaller neighbors. As South-South lending and investment flows increase, however, direct financial sanctions by larger emerging powers also become more likely.</w:t>
      </w:r>
    </w:p>
    <w:p w:rsidR="00A62649" w:rsidRDefault="00A62649" w:rsidP="00A62649">
      <w:pPr>
        <w:spacing w:line="480" w:lineRule="auto"/>
      </w:pPr>
      <w:r w:rsidRPr="004A7361">
        <w:rPr>
          <w:iCs/>
        </w:rPr>
        <w:tab/>
      </w:r>
      <w:r>
        <w:t xml:space="preserve">Several </w:t>
      </w:r>
      <w:r w:rsidRPr="004A7361">
        <w:t xml:space="preserve">types of </w:t>
      </w:r>
      <w:r w:rsidRPr="005F113F">
        <w:t xml:space="preserve">bilateral </w:t>
      </w:r>
      <w:r>
        <w:t xml:space="preserve">instruments potentially might be used by </w:t>
      </w:r>
      <w:r w:rsidRPr="008054B5">
        <w:t>governments of emerging economies to support their foreign policy goals</w:t>
      </w:r>
      <w:r>
        <w:t>, including</w:t>
      </w:r>
      <w:r w:rsidRPr="008054B5">
        <w:t xml:space="preserve"> sovereign wealth funds, bilateral credits, and monetary pressure</w:t>
      </w:r>
      <w:r w:rsidRPr="005F113F">
        <w:t xml:space="preserve">. </w:t>
      </w:r>
      <w:r w:rsidRPr="004A7361">
        <w:rPr>
          <w:iCs/>
        </w:rPr>
        <w:t>Empirical examples of financial inducements, instead of sanctions, by emerging powers have recently increased</w:t>
      </w:r>
      <w:r>
        <w:rPr>
          <w:iCs/>
        </w:rPr>
        <w:t xml:space="preserve">. </w:t>
      </w:r>
      <w:r>
        <w:t>I</w:t>
      </w:r>
      <w:r w:rsidRPr="004A7361">
        <w:t>nitially defensive accumulation of foreign exchange reserves (</w:t>
      </w:r>
      <w:r>
        <w:t xml:space="preserve">a systemic measure discussed </w:t>
      </w:r>
      <w:r w:rsidRPr="004A7361">
        <w:t>below) has led several emerging economies to become significant international creditors (</w:t>
      </w:r>
      <w:proofErr w:type="spellStart"/>
      <w:r w:rsidRPr="004A7361">
        <w:t>Perroni</w:t>
      </w:r>
      <w:proofErr w:type="spellEnd"/>
      <w:r w:rsidRPr="004A7361">
        <w:t xml:space="preserve"> and Whaley 2000). </w:t>
      </w:r>
      <w:r>
        <w:t>W</w:t>
      </w:r>
      <w:r w:rsidRPr="005F113F">
        <w:t xml:space="preserve">ith their </w:t>
      </w:r>
      <w:r w:rsidRPr="005F113F">
        <w:lastRenderedPageBreak/>
        <w:t xml:space="preserve">reserves standing at 10 to 100 percent of their GDP by the mid-2000s </w:t>
      </w:r>
      <w:r w:rsidRPr="000D3C1F">
        <w:t>and a significant portion invested in the advanced countries, East Asia’s so-called “savings glut” became a political issue in Washington, D.C. (Bernanke 200</w:t>
      </w:r>
      <w:r>
        <w:t>5</w:t>
      </w:r>
      <w:r w:rsidRPr="000D3C1F">
        <w:t xml:space="preserve">). </w:t>
      </w:r>
      <w:r>
        <w:t>First, s</w:t>
      </w:r>
      <w:r w:rsidRPr="000D3C1F">
        <w:t>ome of these governments launched powerful sovereign wealth</w:t>
      </w:r>
      <w:r w:rsidRPr="000D3C1F">
        <w:rPr>
          <w:i/>
        </w:rPr>
        <w:t xml:space="preserve"> </w:t>
      </w:r>
      <w:r w:rsidRPr="000D3C1F">
        <w:t>funds (SWFs)</w:t>
      </w:r>
      <w:r w:rsidRPr="000D3C1F">
        <w:rPr>
          <w:rStyle w:val="EndnoteReference"/>
        </w:rPr>
        <w:endnoteReference w:id="5"/>
      </w:r>
      <w:r w:rsidRPr="000D3C1F">
        <w:t xml:space="preserve"> with the aim </w:t>
      </w:r>
      <w:r>
        <w:t xml:space="preserve">to </w:t>
      </w:r>
      <w:r w:rsidRPr="000D3C1F">
        <w:t>employ some of their foreign exchange reserves in productive and remunerative investment projects, rather than simply holding US Treasury bills as the safest and most liqui</w:t>
      </w:r>
      <w:r>
        <w:t xml:space="preserve">d asset.  Due to </w:t>
      </w:r>
      <w:r w:rsidRPr="000D3C1F">
        <w:t>the size and lack of transparency in their investment</w:t>
      </w:r>
      <w:r>
        <w:t xml:space="preserve">s, the rise of the SWFs, </w:t>
      </w:r>
      <w:r w:rsidRPr="000D3C1F">
        <w:t>particularly Chin</w:t>
      </w:r>
      <w:r>
        <w:t xml:space="preserve">ese funds </w:t>
      </w:r>
      <w:r w:rsidRPr="000D3C1F">
        <w:t>invest</w:t>
      </w:r>
      <w:r>
        <w:t>ing</w:t>
      </w:r>
      <w:r w:rsidRPr="000D3C1F">
        <w:t xml:space="preserve"> heavily in energy and utility firms world</w:t>
      </w:r>
      <w:r>
        <w:t>wide,</w:t>
      </w:r>
      <w:r w:rsidRPr="000D3C1F">
        <w:t xml:space="preserve"> triggered concerns among the OECD countries (Truman 2007; </w:t>
      </w:r>
      <w:proofErr w:type="spellStart"/>
      <w:r w:rsidRPr="000D3C1F">
        <w:t>Drezner</w:t>
      </w:r>
      <w:proofErr w:type="spellEnd"/>
      <w:r w:rsidRPr="000D3C1F">
        <w:t xml:space="preserve"> 2008).</w:t>
      </w:r>
      <w:r>
        <w:t xml:space="preserve"> More recently, and post-GFC, some analysts instead have seen SWFs as a useful source of global financial liquidity and stability (Sun and </w:t>
      </w:r>
      <w:proofErr w:type="spellStart"/>
      <w:r>
        <w:t>Hesse</w:t>
      </w:r>
      <w:proofErr w:type="spellEnd"/>
      <w:r>
        <w:t xml:space="preserve"> 2009).</w:t>
      </w:r>
      <w:r w:rsidRPr="000D3C1F">
        <w:rPr>
          <w:rStyle w:val="EndnoteReference"/>
        </w:rPr>
        <w:endnoteReference w:id="6"/>
      </w:r>
      <w:r>
        <w:t xml:space="preserve"> </w:t>
      </w:r>
    </w:p>
    <w:p w:rsidR="00A62649" w:rsidRDefault="00A62649" w:rsidP="00A62649">
      <w:pPr>
        <w:spacing w:line="480" w:lineRule="auto"/>
        <w:rPr>
          <w:iCs/>
        </w:rPr>
      </w:pPr>
      <w:r>
        <w:tab/>
        <w:t xml:space="preserve">Second, large emerging economies have begun </w:t>
      </w:r>
      <w:r w:rsidRPr="00D273C3">
        <w:t xml:space="preserve">to act as </w:t>
      </w:r>
      <w:r>
        <w:t xml:space="preserve">direct sovereign lenders. If they also </w:t>
      </w:r>
      <w:r w:rsidRPr="00D273C3">
        <w:t xml:space="preserve">extract a political quid pro quo, </w:t>
      </w:r>
      <w:r>
        <w:t xml:space="preserve">this fits our category of </w:t>
      </w:r>
      <w:r w:rsidRPr="00D273C3">
        <w:t>bilateral and offensive FS</w:t>
      </w:r>
      <w:r w:rsidRPr="00B43237">
        <w:t>.</w:t>
      </w:r>
      <w:r>
        <w:t xml:space="preserve"> T</w:t>
      </w:r>
      <w:r>
        <w:rPr>
          <w:iCs/>
        </w:rPr>
        <w:t>he U.S. and Latin American policy communities worry about the political leverage that China’s increasing loans and investments may be buying in the West</w:t>
      </w:r>
      <w:r w:rsidRPr="002E71D3">
        <w:rPr>
          <w:iCs/>
        </w:rPr>
        <w:t xml:space="preserve">ern Hemisphere (Gallagher, Irwin, and </w:t>
      </w:r>
      <w:proofErr w:type="spellStart"/>
      <w:r w:rsidRPr="002E71D3">
        <w:rPr>
          <w:iCs/>
        </w:rPr>
        <w:t>Koleski</w:t>
      </w:r>
      <w:proofErr w:type="spellEnd"/>
      <w:r w:rsidRPr="002E71D3">
        <w:rPr>
          <w:iCs/>
        </w:rPr>
        <w:t xml:space="preserve"> 2012), with similar concerns arising regarding A</w:t>
      </w:r>
      <w:r>
        <w:rPr>
          <w:iCs/>
        </w:rPr>
        <w:t xml:space="preserve">frica. </w:t>
      </w:r>
      <w:r>
        <w:t xml:space="preserve">Other emerging powers </w:t>
      </w:r>
      <w:r w:rsidRPr="00B43237">
        <w:t xml:space="preserve">such as </w:t>
      </w:r>
      <w:r>
        <w:t xml:space="preserve">South </w:t>
      </w:r>
      <w:r w:rsidRPr="00B43237">
        <w:t>Korea, Chile, Brazil, and even India have in the last decade improved their financial capabilities, achieving overall financial depth (measured as the ratio of the value of total national financial assets to GDP) comparable to that in France or Germany.</w:t>
      </w:r>
      <w:r w:rsidRPr="00B43237">
        <w:rPr>
          <w:rStyle w:val="EndnoteReference"/>
        </w:rPr>
        <w:endnoteReference w:id="7"/>
      </w:r>
      <w:r>
        <w:rPr>
          <w:iCs/>
        </w:rPr>
        <w:t xml:space="preserve"> China, Brazil, and other emerging economy exporters provide extensive trade credits, often subsidized, to foreign purchasers of goods and services, </w:t>
      </w:r>
      <w:r>
        <w:t xml:space="preserve">while </w:t>
      </w:r>
      <w:r>
        <w:rPr>
          <w:iCs/>
        </w:rPr>
        <w:t>Brazil has extended substantial loans, grants, and technical assistance to sub-Saharan Africa (</w:t>
      </w:r>
      <w:proofErr w:type="spellStart"/>
      <w:r>
        <w:rPr>
          <w:iCs/>
        </w:rPr>
        <w:t>Freyssinet</w:t>
      </w:r>
      <w:proofErr w:type="spellEnd"/>
      <w:r>
        <w:rPr>
          <w:iCs/>
        </w:rPr>
        <w:t xml:space="preserve"> 2013). There are instances of apparent political reciprocity associated with these loans. In the mid-2013 election for the new head of the World Trade Organization, African support for the winning Brazilian candidate, Roberto </w:t>
      </w:r>
      <w:proofErr w:type="spellStart"/>
      <w:r>
        <w:rPr>
          <w:iCs/>
        </w:rPr>
        <w:lastRenderedPageBreak/>
        <w:t>Azevêdo</w:t>
      </w:r>
      <w:proofErr w:type="spellEnd"/>
      <w:r>
        <w:rPr>
          <w:iCs/>
        </w:rPr>
        <w:t xml:space="preserve">, was an important reason that he edged out a similarly-qualified Mexican candidate backed by both the U.S. and all the countries of the European Union. </w:t>
      </w:r>
    </w:p>
    <w:p w:rsidR="00A62649" w:rsidRPr="00D85523" w:rsidRDefault="00A62649" w:rsidP="00A62649">
      <w:pPr>
        <w:spacing w:line="480" w:lineRule="auto"/>
        <w:ind w:firstLine="720"/>
        <w:rPr>
          <w:iCs/>
        </w:rPr>
      </w:pPr>
      <w:r>
        <w:t xml:space="preserve">A third type of offensive bilateral financial statecraft occurs when a state’s leaders employ monetary instruments to alter the behavior of its neighbor </w:t>
      </w:r>
      <w:r>
        <w:rPr>
          <w:iCs/>
        </w:rPr>
        <w:t>(</w:t>
      </w:r>
      <w:proofErr w:type="spellStart"/>
      <w:r>
        <w:rPr>
          <w:iCs/>
        </w:rPr>
        <w:t>Kirshner</w:t>
      </w:r>
      <w:proofErr w:type="spellEnd"/>
      <w:r>
        <w:rPr>
          <w:iCs/>
        </w:rPr>
        <w:t xml:space="preserve"> 1995, 2003; Andrews 2006; Cohen 2006).</w:t>
      </w:r>
      <w:r>
        <w:t xml:space="preserve"> </w:t>
      </w:r>
      <w:r>
        <w:rPr>
          <w:iCs/>
        </w:rPr>
        <w:t xml:space="preserve">Here the underlying assumption is that a persistent bilateral international payments imbalance is problematic, particularly for the deficit country. However, adjustment is neither economically nor politically pleasant, as it implies lower domestic absorption for the deficit country, as well as a renegotiation of carefully-crafted </w:t>
      </w:r>
      <w:proofErr w:type="spellStart"/>
      <w:r>
        <w:rPr>
          <w:iCs/>
        </w:rPr>
        <w:t>intersectoral</w:t>
      </w:r>
      <w:proofErr w:type="spellEnd"/>
      <w:r>
        <w:rPr>
          <w:iCs/>
        </w:rPr>
        <w:t xml:space="preserve"> domestic political deals. Hence countries with sufficient capabilities will push the necessary adjustment onto their trading part</w:t>
      </w:r>
      <w:r w:rsidRPr="002E71D3">
        <w:rPr>
          <w:iCs/>
        </w:rPr>
        <w:t>ners. Henning (2006:124) discusses numerous such episodes involving the U.S. using</w:t>
      </w:r>
      <w:r>
        <w:rPr>
          <w:iCs/>
        </w:rPr>
        <w:t xml:space="preserve"> exchange rate coercion vis-à-vis Japan and Western Europe, observing that its incidence has coincided with periods of a large U.S. trade deficit, when the incumbent administration feared that Congress would turn protectionist if foreign partners did not adjust. As the Eurozone struggles with its early 21</w:t>
      </w:r>
      <w:r w:rsidRPr="00225AD6">
        <w:rPr>
          <w:iCs/>
          <w:vertAlign w:val="superscript"/>
        </w:rPr>
        <w:t>st</w:t>
      </w:r>
      <w:r>
        <w:rPr>
          <w:iCs/>
        </w:rPr>
        <w:t xml:space="preserve"> century sovereign debt crisis, the large surplus country (Germany, aided by the European regional institutions) pressures its weaker partners (Greece and other smaller Southern European trade deficit countries) </w:t>
      </w:r>
      <w:r w:rsidRPr="00D85523">
        <w:rPr>
          <w:iCs/>
        </w:rPr>
        <w:t xml:space="preserve">to adjust by imposing drastic austerity. </w:t>
      </w:r>
    </w:p>
    <w:p w:rsidR="00A62649" w:rsidRPr="008D4EA4" w:rsidRDefault="00A62649" w:rsidP="00A62649">
      <w:pPr>
        <w:spacing w:line="480" w:lineRule="auto"/>
        <w:ind w:firstLine="720"/>
        <w:rPr>
          <w:iCs/>
        </w:rPr>
      </w:pPr>
      <w:r>
        <w:rPr>
          <w:iCs/>
        </w:rPr>
        <w:t xml:space="preserve">Although examples of currency coercion by emerging economies have been rare, the potential for rising states to employ the sword of monetary statecraft clearly exists as regions such as East Asia, Southern Africa, or South America and others become financially integrated. The new trend of invoicing trade in one another’s home currencies provides an opportunity to free both parties from the tyranny of incurring future obligations (or receipts) in U.S. dollars and saves on foreign exchange transactions costs. However, as can be seen in the RMB-swap </w:t>
      </w:r>
      <w:r>
        <w:rPr>
          <w:iCs/>
        </w:rPr>
        <w:lastRenderedPageBreak/>
        <w:t>between China and Argentina, the country that develops trade deficits</w:t>
      </w:r>
      <w:r w:rsidRPr="008D4EA4">
        <w:rPr>
          <w:iCs/>
        </w:rPr>
        <w:t xml:space="preserve"> may see a new type of bilateral currency coercion looming.</w:t>
      </w:r>
    </w:p>
    <w:p w:rsidR="00A62649" w:rsidRPr="008D4EA4" w:rsidRDefault="00A62649" w:rsidP="00A62649">
      <w:pPr>
        <w:spacing w:line="480" w:lineRule="auto"/>
        <w:ind w:firstLine="720"/>
        <w:rPr>
          <w:iCs/>
        </w:rPr>
      </w:pPr>
      <w:r>
        <w:rPr>
          <w:iCs/>
        </w:rPr>
        <w:t>Thus, al</w:t>
      </w:r>
      <w:r w:rsidRPr="008D4EA4">
        <w:rPr>
          <w:iCs/>
        </w:rPr>
        <w:t>though often portrayed as an instrument usable only by major world powers, offensive and bilateral FS has become available to emerging market economies, particularly in the form of the use of sovereign credit and investment to promote “friendly” policy support in international organizations and other contexts, as well as some forms of monetary statecraft. As the world becomes incrementally more multipolar</w:t>
      </w:r>
      <w:r>
        <w:rPr>
          <w:iCs/>
        </w:rPr>
        <w:t xml:space="preserve"> and South-South economic integration proceeds</w:t>
      </w:r>
      <w:r w:rsidRPr="008D4EA4">
        <w:rPr>
          <w:iCs/>
        </w:rPr>
        <w:t xml:space="preserve">, instances of such behavior by rising powers </w:t>
      </w:r>
      <w:r>
        <w:rPr>
          <w:iCs/>
        </w:rPr>
        <w:t xml:space="preserve">will </w:t>
      </w:r>
      <w:r w:rsidRPr="008D4EA4">
        <w:rPr>
          <w:iCs/>
        </w:rPr>
        <w:t>increase.</w:t>
      </w:r>
    </w:p>
    <w:p w:rsidR="00A62649" w:rsidRPr="00823E3B" w:rsidRDefault="00A62649" w:rsidP="00A62649">
      <w:pPr>
        <w:spacing w:line="480" w:lineRule="auto"/>
      </w:pPr>
    </w:p>
    <w:p w:rsidR="00A62649" w:rsidRPr="00960355" w:rsidRDefault="00A62649" w:rsidP="00A62649">
      <w:pPr>
        <w:spacing w:line="480" w:lineRule="auto"/>
        <w:rPr>
          <w:b/>
        </w:rPr>
      </w:pPr>
      <w:r w:rsidRPr="0023479E">
        <w:rPr>
          <w:b/>
        </w:rPr>
        <w:t>V. Defensive and</w:t>
      </w:r>
      <w:r>
        <w:rPr>
          <w:b/>
        </w:rPr>
        <w:t xml:space="preserve"> Systemic Financial Statecraft: Contemporary Strategies of Rising Powers</w:t>
      </w:r>
    </w:p>
    <w:p w:rsidR="00A62649" w:rsidRPr="00007B30" w:rsidRDefault="00A62649" w:rsidP="00A62649">
      <w:pPr>
        <w:spacing w:line="480" w:lineRule="auto"/>
        <w:rPr>
          <w:iCs/>
        </w:rPr>
      </w:pPr>
      <w:r w:rsidRPr="007E7D11">
        <w:tab/>
        <w:t xml:space="preserve">Unlike the bilateral forms of financial statecraft discussed above, the types detailed in Table 2’s lower two cells are oriented toward dealing with the global environment(s) within which global financial and monetary relations occur. The left-hand cell belongs to </w:t>
      </w:r>
      <w:r w:rsidRPr="007E7D11">
        <w:rPr>
          <w:iCs/>
        </w:rPr>
        <w:t xml:space="preserve">defensive and systemic financial statecraft, with which states </w:t>
      </w:r>
      <w:r w:rsidRPr="007E7D11">
        <w:t>resist or defend against pernicious influences from global financial markets and also voice dissatisfaction with the contours of global financial and economic governance.</w:t>
      </w:r>
      <w:r w:rsidRPr="007E7D11">
        <w:rPr>
          <w:iCs/>
        </w:rPr>
        <w:t xml:space="preserve"> </w:t>
      </w:r>
      <w:r w:rsidRPr="007E7D11">
        <w:t>Recently, with the increase in their financial capacities, the elites in</w:t>
      </w:r>
      <w:r w:rsidRPr="00007B30">
        <w:t xml:space="preserve"> many of the larger emerging and transitional economies have begun to believe in their capacity to fend off disruptive influences from the global financial system.  Such FS strategies include three broad types.</w:t>
      </w:r>
    </w:p>
    <w:p w:rsidR="00A62649" w:rsidRPr="00007B30" w:rsidRDefault="00A62649" w:rsidP="00A62649">
      <w:pPr>
        <w:spacing w:line="480" w:lineRule="auto"/>
      </w:pPr>
      <w:r w:rsidRPr="00007B30">
        <w:tab/>
        <w:t>The first set of defensive and systemic financial policies come in the form of consciously applying interventionist (“</w:t>
      </w:r>
      <w:proofErr w:type="spellStart"/>
      <w:r w:rsidRPr="00007B30">
        <w:t>developmentalist</w:t>
      </w:r>
      <w:proofErr w:type="spellEnd"/>
      <w:r w:rsidRPr="00007B30">
        <w:t xml:space="preserve">”) financial measures such as the buildup of foreign exchange reserves, capital controls, and the use of public banks to implement counter-cyclical policies. These policies are aimed at resisting contagion from global markets due to sudden shifts </w:t>
      </w:r>
      <w:r w:rsidRPr="00007B30">
        <w:lastRenderedPageBreak/>
        <w:t xml:space="preserve">in the availability international liquidity. Latin American governments in countries such as Mexico, Chile, Colombia, and Peru have opted to maintain economically liberal policy frameworks since the 1990s. However, a number of governments of other large countries--including Brazil, Argentina, and Venezuela--have since the beginning of the new millennium shifted their policies back towards greater state intervention in financial systems and markets, while nonetheless retaining substantial trade openness and a comparatively stable macroeconomic environment. A similar trend is observable in Asia, with relatively liberal South Korea, the Philippines, and most recently Indonesia at one end of the continuum, and comparatively interventionist China, India, and Malaysia at the other. These interventionist emerging powers of Brazil, China, and India, have made conscious and explicit efforts to rely to a greater extent on domestic rather than foreign financing. </w:t>
      </w:r>
    </w:p>
    <w:p w:rsidR="00A62649" w:rsidRPr="00007B30" w:rsidRDefault="00A62649" w:rsidP="00A62649">
      <w:pPr>
        <w:spacing w:line="480" w:lineRule="auto"/>
      </w:pPr>
      <w:r w:rsidRPr="00007B30">
        <w:tab/>
        <w:t>Other “</w:t>
      </w:r>
      <w:proofErr w:type="spellStart"/>
      <w:r w:rsidRPr="00007B30">
        <w:t>developmentalist</w:t>
      </w:r>
      <w:proofErr w:type="spellEnd"/>
      <w:r w:rsidRPr="00007B30">
        <w:t xml:space="preserve">” choices aimed at resisting these sudden stops in global flows of credit and capital include inward capital controls, notably and (arguably) successfully employed by countries such as Malaysia and Chile in the 1990s, and public resources directed to state-owned banks charged with allocating investments for the “public good” as defined by the incumbent government. In the aftermath of the </w:t>
      </w:r>
      <w:r>
        <w:t>global financial crisis (GFC) of 2008-9</w:t>
      </w:r>
      <w:r w:rsidRPr="00007B30">
        <w:t>, governments in Brazil, China, and India among others used public sector banks as a major conduit for counter-cyclical fiscal stimulus policies.</w:t>
      </w:r>
    </w:p>
    <w:p w:rsidR="00A62649" w:rsidRPr="00374BB7" w:rsidRDefault="00A62649" w:rsidP="00A62649">
      <w:pPr>
        <w:spacing w:line="480" w:lineRule="auto"/>
      </w:pPr>
      <w:r w:rsidRPr="00374BB7">
        <w:tab/>
        <w:t>A second, and closely-related, broad category of defensive and systemic FS is monetary statecraft aimed at resisting currency pressure from global markets. Emerging economies have long been vulnerable to currency pressure, as they have suffered under the “original sin” of being unable to borrow abroad in their home currencies (</w:t>
      </w:r>
      <w:proofErr w:type="spellStart"/>
      <w:r w:rsidRPr="00374BB7">
        <w:t>Eichengreen</w:t>
      </w:r>
      <w:proofErr w:type="spellEnd"/>
      <w:r w:rsidRPr="00374BB7">
        <w:t xml:space="preserve"> and </w:t>
      </w:r>
      <w:proofErr w:type="spellStart"/>
      <w:r w:rsidRPr="00374BB7">
        <w:t>Hausmann</w:t>
      </w:r>
      <w:proofErr w:type="spellEnd"/>
      <w:r w:rsidRPr="00374BB7">
        <w:t xml:space="preserve"> 1999). In addition, governments and firms often could not access domestic sources of long-term financing. </w:t>
      </w:r>
      <w:r w:rsidRPr="00374BB7">
        <w:lastRenderedPageBreak/>
        <w:t xml:space="preserve">These two conditions have made their borrowing a “double mismatch” (mismatch of both currencies and terms) and acutely crisis-prone. Hence, one of the important reasons behind the buildup of foreign exchange reserves in East Asian and other emerging economies including China, </w:t>
      </w:r>
      <w:r>
        <w:t>despite the hi</w:t>
      </w:r>
      <w:r w:rsidRPr="002E71D3">
        <w:t>gh opportunity cost, has been the desire for self-insurance (Chin 2010; Hamilton-Hart 2012).</w:t>
      </w:r>
      <w:r w:rsidRPr="00374BB7">
        <w:t xml:space="preserve"> </w:t>
      </w:r>
    </w:p>
    <w:p w:rsidR="00A62649" w:rsidRPr="00374BB7" w:rsidRDefault="00A62649" w:rsidP="00A62649">
      <w:pPr>
        <w:spacing w:line="480" w:lineRule="auto"/>
        <w:ind w:firstLine="720"/>
        <w:rPr>
          <w:strike/>
        </w:rPr>
      </w:pPr>
      <w:r>
        <w:t>D</w:t>
      </w:r>
      <w:r w:rsidRPr="00374BB7">
        <w:t>uring the 2000s, s</w:t>
      </w:r>
      <w:r>
        <w:t>ome emerging economy</w:t>
      </w:r>
      <w:r w:rsidRPr="00374BB7">
        <w:t xml:space="preserve"> policymakers </w:t>
      </w:r>
      <w:r>
        <w:t xml:space="preserve">also </w:t>
      </w:r>
      <w:r w:rsidRPr="00374BB7">
        <w:t>began to address the currency challenge by attempting multilateral often regional</w:t>
      </w:r>
      <w:r>
        <w:t xml:space="preserve"> liquidity </w:t>
      </w:r>
      <w:r w:rsidRPr="00374BB7">
        <w:t xml:space="preserve">cooperation </w:t>
      </w:r>
      <w:r>
        <w:t>in attempts to replicate the IMF, yet controlled by themselves</w:t>
      </w:r>
      <w:r w:rsidRPr="00374BB7">
        <w:t xml:space="preserve">. Around the Pacific Rim, two such </w:t>
      </w:r>
      <w:r w:rsidRPr="009F2B0C">
        <w:t>mainly South-South collaborative efforts have been notable (</w:t>
      </w:r>
      <w:proofErr w:type="spellStart"/>
      <w:r w:rsidRPr="009F2B0C">
        <w:t>Dullien</w:t>
      </w:r>
      <w:proofErr w:type="spellEnd"/>
      <w:r w:rsidRPr="009F2B0C">
        <w:t xml:space="preserve">, Fritz, and </w:t>
      </w:r>
      <w:proofErr w:type="spellStart"/>
      <w:r w:rsidRPr="009F2B0C">
        <w:t>Muehlich</w:t>
      </w:r>
      <w:proofErr w:type="spellEnd"/>
      <w:r w:rsidRPr="009F2B0C">
        <w:t xml:space="preserve"> 2013). In Latin America, the Latin American Reserve Fund (FLAR), whose principal members are s</w:t>
      </w:r>
      <w:r w:rsidRPr="00374BB7">
        <w:t>mall to mid-sized countries of the Northern Andes, successfully aided both Ecuador and Bolivia in the early 21</w:t>
      </w:r>
      <w:r w:rsidRPr="00374BB7">
        <w:rPr>
          <w:vertAlign w:val="superscript"/>
        </w:rPr>
        <w:t>st</w:t>
      </w:r>
      <w:r w:rsidRPr="00374BB7">
        <w:t xml:space="preserve"> century with the total disposal funds of $2 billion. Brazil, whose economy is too large to have recourse to such a limited mechanism, nonetheless has recently debated joining the FLAR, principally as a political gesture in support of its ambitions to lead in the larger project of enhancing South American regional political cooperation (</w:t>
      </w:r>
      <w:proofErr w:type="spellStart"/>
      <w:r w:rsidRPr="00374BB7">
        <w:t>Biancareli</w:t>
      </w:r>
      <w:proofErr w:type="spellEnd"/>
      <w:r w:rsidRPr="00374BB7">
        <w:t xml:space="preserve"> 2011). In East Asia, the Chiang Mai Initiative, a regional emergency funding mechanism established in the aftermath of the AFC among the member countries (ASEAN+3), transformed its web of bilateral currency swap arrangements into a $240 billion regional reserve pooling arrangement, the Chiang Mai Initiative </w:t>
      </w:r>
      <w:proofErr w:type="spellStart"/>
      <w:r w:rsidRPr="00374BB7">
        <w:t>Multilaterization</w:t>
      </w:r>
      <w:proofErr w:type="spellEnd"/>
      <w:r w:rsidRPr="00374BB7">
        <w:t xml:space="preserve"> (CMIM</w:t>
      </w:r>
      <w:r w:rsidRPr="00D221CF">
        <w:t>) (</w:t>
      </w:r>
      <w:proofErr w:type="spellStart"/>
      <w:r w:rsidRPr="008054B5">
        <w:t>Ciorciari</w:t>
      </w:r>
      <w:proofErr w:type="spellEnd"/>
      <w:r w:rsidRPr="008054B5">
        <w:t xml:space="preserve"> 2011)</w:t>
      </w:r>
      <w:r w:rsidRPr="00D221CF">
        <w:t>.</w:t>
      </w:r>
    </w:p>
    <w:p w:rsidR="00A62649" w:rsidRPr="00374BB7" w:rsidRDefault="00A62649" w:rsidP="00A62649">
      <w:pPr>
        <w:spacing w:line="480" w:lineRule="auto"/>
      </w:pPr>
      <w:r w:rsidRPr="00374BB7">
        <w:tab/>
        <w:t xml:space="preserve">A more overtly assertive tactic in this area, which its users nonetheless clearly perceive as essentially defensive, has come in the form of verbal attacks by large emerging powers on the legitimacy of the dominance of the U.S. dollar as the key currency for global economic exchanges. Emerging economies’ preferences for a multiplicity of reserve currencies clearly </w:t>
      </w:r>
      <w:r w:rsidRPr="00374BB7">
        <w:lastRenderedPageBreak/>
        <w:t xml:space="preserve">challenges the sixty-year dominance of the U.S. dollars as the “top” currency (Cohen 1998, 2009). The acute credit and dollar shortage imposed on the global economy </w:t>
      </w:r>
      <w:r>
        <w:t xml:space="preserve">in the months immediately following the September 2008 Lehman shock </w:t>
      </w:r>
      <w:r w:rsidRPr="00374BB7">
        <w:t xml:space="preserve">led emerging market governments to demand reforms of </w:t>
      </w:r>
      <w:r>
        <w:t xml:space="preserve">the </w:t>
      </w:r>
      <w:r w:rsidRPr="00374BB7">
        <w:t>global currency structure. In the spring of 2009, the Governor of the People’s Bank of China</w:t>
      </w:r>
      <w:r>
        <w:t xml:space="preserve"> </w:t>
      </w:r>
      <w:r w:rsidRPr="00374BB7">
        <w:t>argued in favor of international monetary reform and increased use of Special Drawing Rights</w:t>
      </w:r>
      <w:r>
        <w:t xml:space="preserve"> (SDRs)</w:t>
      </w:r>
      <w:r w:rsidRPr="00374BB7">
        <w:t xml:space="preserve"> to supplement or supplant the dominant role of the dollar as the international key currency.</w:t>
      </w:r>
      <w:r w:rsidRPr="00374BB7">
        <w:rPr>
          <w:rStyle w:val="EndnoteReference"/>
        </w:rPr>
        <w:endnoteReference w:id="8"/>
      </w:r>
      <w:r w:rsidRPr="00374BB7">
        <w:t xml:space="preserve"> In terms of concrete actions, the Chinese government has signed several RMB currency swaps totaling the equivalent of $650 billion with countries that have had large trade payments to China.</w:t>
      </w:r>
      <w:r w:rsidRPr="00374BB7">
        <w:rPr>
          <w:rStyle w:val="EndnoteReference"/>
        </w:rPr>
        <w:endnoteReference w:id="9"/>
      </w:r>
      <w:r w:rsidRPr="00374BB7">
        <w:t xml:space="preserve"> </w:t>
      </w:r>
    </w:p>
    <w:p w:rsidR="00A62649" w:rsidRPr="005E71C1" w:rsidRDefault="00A62649" w:rsidP="00A62649">
      <w:pPr>
        <w:spacing w:line="480" w:lineRule="auto"/>
      </w:pPr>
      <w:r w:rsidRPr="00344460">
        <w:rPr>
          <w:color w:val="4F81BD" w:themeColor="accent1"/>
        </w:rPr>
        <w:tab/>
      </w:r>
      <w:r>
        <w:t xml:space="preserve">A </w:t>
      </w:r>
      <w:r w:rsidRPr="005E71C1">
        <w:t xml:space="preserve">third strategy of great importance </w:t>
      </w:r>
      <w:r>
        <w:t>has been</w:t>
      </w:r>
      <w:r w:rsidRPr="005E71C1">
        <w:t xml:space="preserve"> the post-GFC efforts on the part of the larger emerging powers to expand their voice in global financial governance. Prior to late 2008, if their leaders and scholars spoke</w:t>
      </w:r>
      <w:r>
        <w:t xml:space="preserve"> on the subject</w:t>
      </w:r>
      <w:r w:rsidRPr="005E71C1">
        <w:t xml:space="preserve">, they were seldom heard. </w:t>
      </w:r>
      <w:r>
        <w:t>Since the GFC, which began in the subprime mortgage markets of the U.S., t</w:t>
      </w:r>
      <w:r w:rsidRPr="005E71C1">
        <w:t>he tables have been turned</w:t>
      </w:r>
      <w:r>
        <w:t>.</w:t>
      </w:r>
      <w:r w:rsidRPr="005E71C1">
        <w:t xml:space="preserve"> </w:t>
      </w:r>
      <w:r>
        <w:t>T</w:t>
      </w:r>
      <w:r w:rsidRPr="005E71C1">
        <w:t>he advanced economies, which once had a monopoly over the institutions that have guided global financial governance, face continuing financial crises</w:t>
      </w:r>
      <w:r>
        <w:t>, while most</w:t>
      </w:r>
      <w:r w:rsidRPr="005E71C1">
        <w:t xml:space="preserve"> emerging market economies bounced back rather quickly</w:t>
      </w:r>
      <w:r>
        <w:t xml:space="preserve"> (Wise, Armijo and </w:t>
      </w:r>
      <w:proofErr w:type="spellStart"/>
      <w:r>
        <w:t>Katada</w:t>
      </w:r>
      <w:proofErr w:type="spellEnd"/>
      <w:r>
        <w:t xml:space="preserve"> 2013)</w:t>
      </w:r>
      <w:r w:rsidRPr="005E71C1">
        <w:t xml:space="preserve">. The raising of the financial G20, created during the AFC as a multilateral consultative committee of finance ministers and central bankers, to the status of a group convening regular heads-of-state summits beginning in November 2008 was the institutional breakthrough. Major emerging market economies such as Brazil, Russia, India, China, Indonesia, Korea, Turkey, and Mexico are </w:t>
      </w:r>
      <w:r>
        <w:t xml:space="preserve">now </w:t>
      </w:r>
      <w:r w:rsidRPr="005E71C1">
        <w:t xml:space="preserve">included in the global economic discussion. At the second G20 Summit in London in April 2009, the Financial Stability Forum in Basel, which had been the main technical coordinating body for international financial regulatory reforms, also extended membership to all G20 members, renaming itself the Financial Stability </w:t>
      </w:r>
      <w:r w:rsidRPr="005E71C1">
        <w:lastRenderedPageBreak/>
        <w:t xml:space="preserve">Board. Seoul became the site of the fifth G20 Summit in November 2011, and the country’s President Lee </w:t>
      </w:r>
      <w:proofErr w:type="spellStart"/>
      <w:r w:rsidRPr="005E71C1">
        <w:t>Myung-bak</w:t>
      </w:r>
      <w:proofErr w:type="spellEnd"/>
      <w:r w:rsidRPr="005E71C1">
        <w:t xml:space="preserve"> was able to have the G20 leaders endorse the “Seoul Development Consensus for Shared Growth,” which explicitly incorporates the development agenda into global financial governance. </w:t>
      </w:r>
    </w:p>
    <w:p w:rsidR="00A62649" w:rsidRPr="005E71C1" w:rsidRDefault="00A62649" w:rsidP="00A62649">
      <w:pPr>
        <w:spacing w:line="480" w:lineRule="auto"/>
        <w:ind w:firstLine="720"/>
      </w:pPr>
      <w:r w:rsidRPr="005E71C1">
        <w:t xml:space="preserve">In this context, </w:t>
      </w:r>
      <w:r>
        <w:t>four</w:t>
      </w:r>
      <w:r w:rsidRPr="005E71C1">
        <w:t xml:space="preserve"> major emerging market economies also created a caucus-type group in the form of BRICs (Brazil, Russia, India, and China) Summits beginning in 2009</w:t>
      </w:r>
      <w:r>
        <w:t xml:space="preserve"> (</w:t>
      </w:r>
      <w:r w:rsidRPr="00520EE4">
        <w:t>Armijo and Roberts forthcoming</w:t>
      </w:r>
      <w:r>
        <w:t>)</w:t>
      </w:r>
      <w:r w:rsidRPr="00620754">
        <w:t>.</w:t>
      </w:r>
      <w:r w:rsidRPr="005E71C1">
        <w:rPr>
          <w:rStyle w:val="EndnoteReference"/>
        </w:rPr>
        <w:endnoteReference w:id="10"/>
      </w:r>
      <w:r w:rsidRPr="005E71C1">
        <w:t xml:space="preserve"> At the first BRICs Summit meeting in April 2009, the four governments agreed to make their support for an IMF quota increase (arguably needed to provide sufficient resources for the Fund to assist ailing Europe) dependent on an internal rebalancing of Fund voting rights. Emphasizing the central role of the G20 in all of their joint statements, recent BRICs Summits have expanded their issue coverage from mostly finance and development to energy, environment, security, and public health. Including South Africa since late 2010, the BRICS have continued to make the goal of increasing their voice in global economic and financial governance a high priority for their cooperation. </w:t>
      </w:r>
    </w:p>
    <w:p w:rsidR="00A62649" w:rsidRPr="005E71C1" w:rsidRDefault="00A62649" w:rsidP="00A62649">
      <w:pPr>
        <w:spacing w:line="480" w:lineRule="auto"/>
        <w:ind w:firstLine="720"/>
      </w:pPr>
      <w:r w:rsidRPr="005E71C1">
        <w:t>Th</w:t>
      </w:r>
      <w:r>
        <w:t>r</w:t>
      </w:r>
      <w:r w:rsidRPr="005E71C1">
        <w:t xml:space="preserve">ough these recent efforts, the larger emerging market economies have attempted to employ their newfound political and financial capabilities to open space for their greater participation in shaping the conditions of international financial markets and global governance.  Although </w:t>
      </w:r>
      <w:r>
        <w:t xml:space="preserve">participation is </w:t>
      </w:r>
      <w:r w:rsidRPr="005E71C1">
        <w:t>not consistent across all the emerging market economies, those with higher capabilities and influence seem to opt for such defensive but systemic financial statecraft.</w:t>
      </w:r>
    </w:p>
    <w:p w:rsidR="00A62649" w:rsidRDefault="00A62649" w:rsidP="00A62649">
      <w:pPr>
        <w:spacing w:line="480" w:lineRule="auto"/>
        <w:rPr>
          <w:b/>
        </w:rPr>
      </w:pPr>
    </w:p>
    <w:p w:rsidR="00A62649" w:rsidRDefault="00A62649" w:rsidP="00A62649">
      <w:pPr>
        <w:spacing w:line="480" w:lineRule="auto"/>
        <w:rPr>
          <w:b/>
        </w:rPr>
      </w:pPr>
    </w:p>
    <w:p w:rsidR="00A62649" w:rsidRDefault="00A62649" w:rsidP="00A62649">
      <w:pPr>
        <w:spacing w:line="480" w:lineRule="auto"/>
        <w:rPr>
          <w:b/>
        </w:rPr>
      </w:pPr>
    </w:p>
    <w:p w:rsidR="00A62649" w:rsidRDefault="00A62649" w:rsidP="00A62649">
      <w:pPr>
        <w:spacing w:line="480" w:lineRule="auto"/>
      </w:pPr>
      <w:r w:rsidRPr="00EC4480">
        <w:rPr>
          <w:b/>
        </w:rPr>
        <w:t>V</w:t>
      </w:r>
      <w:r>
        <w:rPr>
          <w:b/>
        </w:rPr>
        <w:t>I</w:t>
      </w:r>
      <w:r w:rsidRPr="00EC4480">
        <w:rPr>
          <w:b/>
        </w:rPr>
        <w:t>. Offensive and Systemic Finan</w:t>
      </w:r>
      <w:r>
        <w:rPr>
          <w:b/>
        </w:rPr>
        <w:t>cial Statecraft: The Strategy of the Future?</w:t>
      </w:r>
    </w:p>
    <w:p w:rsidR="00A62649" w:rsidRPr="00837AD0" w:rsidRDefault="00A62649" w:rsidP="00A62649">
      <w:pPr>
        <w:spacing w:line="480" w:lineRule="auto"/>
        <w:ind w:firstLine="720"/>
      </w:pPr>
      <w:r w:rsidRPr="00557EFE">
        <w:lastRenderedPageBreak/>
        <w:t>A</w:t>
      </w:r>
      <w:r w:rsidRPr="00D221CF">
        <w:t xml:space="preserve">ttempts made by </w:t>
      </w:r>
      <w:r w:rsidRPr="00557EFE">
        <w:t xml:space="preserve">any powers to </w:t>
      </w:r>
      <w:r w:rsidRPr="008054B5">
        <w:t>res</w:t>
      </w:r>
      <w:r w:rsidRPr="00557EFE">
        <w:t xml:space="preserve">hape the </w:t>
      </w:r>
      <w:r>
        <w:t xml:space="preserve">major </w:t>
      </w:r>
      <w:r w:rsidRPr="00557EFE">
        <w:t xml:space="preserve">contours of the global political economy of money and finance </w:t>
      </w:r>
      <w:r w:rsidRPr="008054B5">
        <w:t>sh</w:t>
      </w:r>
      <w:r w:rsidRPr="00557EFE">
        <w:t>ould be considered</w:t>
      </w:r>
      <w:r w:rsidRPr="00D221CF">
        <w:t xml:space="preserve"> “offensive” </w:t>
      </w:r>
      <w:r w:rsidRPr="00557EFE">
        <w:t xml:space="preserve">and systemic financial statecraft.  Despite </w:t>
      </w:r>
      <w:r w:rsidRPr="00837AD0">
        <w:t xml:space="preserve">the rise of emerging economies, the contemporary distribution of global and systemic financial influence still overwhelmingly favors the U.S. and the other traditional major powers in the G7, </w:t>
      </w:r>
      <w:r>
        <w:t xml:space="preserve">and </w:t>
      </w:r>
      <w:r w:rsidRPr="00837AD0">
        <w:t>thus much of the leverage to shape globa</w:t>
      </w:r>
      <w:r>
        <w:t>l economic governance resides with</w:t>
      </w:r>
      <w:r w:rsidRPr="00837AD0">
        <w:t xml:space="preserve"> them.  </w:t>
      </w:r>
      <w:r>
        <w:t xml:space="preserve">For example, </w:t>
      </w:r>
      <w:r w:rsidRPr="00837AD0">
        <w:t>the international economic institutions (today the IMF, World Bank, and WTO) established as the result of the 1944 conference in Bretton Woods, New Hampshire still give the U</w:t>
      </w:r>
      <w:r>
        <w:t xml:space="preserve">.S. </w:t>
      </w:r>
      <w:r w:rsidRPr="00837AD0">
        <w:t xml:space="preserve">an disproportionate influence through its large share of official votes, and </w:t>
      </w:r>
      <w:r w:rsidRPr="00926944">
        <w:t xml:space="preserve">policy and paradigmatic dominance (Block 1978; Wade 1996; </w:t>
      </w:r>
      <w:r w:rsidRPr="00520EE4">
        <w:t>Tabb 2004; Stone</w:t>
      </w:r>
      <w:r w:rsidRPr="00926944">
        <w:t xml:space="preserve"> 2011</w:t>
      </w:r>
      <w:r w:rsidRPr="00D221CF">
        <w:t>).  Since</w:t>
      </w:r>
      <w:r w:rsidRPr="00837AD0">
        <w:t xml:space="preserve"> the breakdown of the multilateral fixed exchange rate regime of the 1970s, informal yet regular consultation of G7 (initially G5) finance ministers and central bank </w:t>
      </w:r>
      <w:r>
        <w:t xml:space="preserve">governors </w:t>
      </w:r>
      <w:r w:rsidRPr="00837AD0">
        <w:t xml:space="preserve">has guided global </w:t>
      </w:r>
      <w:r w:rsidRPr="00926944">
        <w:t>economic governance (</w:t>
      </w:r>
      <w:r w:rsidRPr="00520EE4">
        <w:t>Bergsten and Henning</w:t>
      </w:r>
      <w:r w:rsidRPr="00926944">
        <w:t xml:space="preserve"> 1996</w:t>
      </w:r>
      <w:r w:rsidRPr="00837AD0">
        <w:t xml:space="preserve">). </w:t>
      </w:r>
      <w:r>
        <w:t>While the G20 partially has supplanted the G7, this transition remains far from assured.</w:t>
      </w:r>
    </w:p>
    <w:p w:rsidR="00A62649" w:rsidRPr="0034731B" w:rsidRDefault="00A62649" w:rsidP="00A62649">
      <w:pPr>
        <w:spacing w:line="480" w:lineRule="auto"/>
      </w:pPr>
      <w:r w:rsidRPr="000A0C8C">
        <w:rPr>
          <w:color w:val="4F81BD" w:themeColor="accent1"/>
        </w:rPr>
        <w:tab/>
      </w:r>
      <w:r w:rsidRPr="00826FC2">
        <w:t xml:space="preserve">Until quite recently, instruments of systemic FS were </w:t>
      </w:r>
      <w:r>
        <w:t>un</w:t>
      </w:r>
      <w:r w:rsidRPr="00826FC2">
        <w:t>available to emerging economies</w:t>
      </w:r>
      <w:r>
        <w:t>, and we judge their efforts at systemic influence thus far to have been more defensive, and aimed at participation for its own sake, than offensive, and intending significant institutional restructuring</w:t>
      </w:r>
      <w:r w:rsidRPr="00826FC2">
        <w:t xml:space="preserve">. </w:t>
      </w:r>
      <w:r>
        <w:t xml:space="preserve">Nonetheless the dividing line is fuzzy, and the </w:t>
      </w:r>
      <w:r w:rsidRPr="00826FC2">
        <w:t xml:space="preserve">prospects </w:t>
      </w:r>
      <w:r>
        <w:t xml:space="preserve">of the governments of some emerging economies </w:t>
      </w:r>
      <w:r w:rsidRPr="00826FC2">
        <w:t xml:space="preserve">for systemic influence are gradually improving. </w:t>
      </w:r>
      <w:r>
        <w:t>As already noted, there have been shifts in the global di</w:t>
      </w:r>
      <w:r w:rsidRPr="00C8325C">
        <w:t>stribution of specifically financial capabilities</w:t>
      </w:r>
      <w:r>
        <w:t xml:space="preserve"> </w:t>
      </w:r>
      <w:r w:rsidRPr="008C3453">
        <w:t xml:space="preserve">(Armijo, </w:t>
      </w:r>
      <w:proofErr w:type="spellStart"/>
      <w:r w:rsidRPr="008C3453">
        <w:t>Muehlich</w:t>
      </w:r>
      <w:proofErr w:type="spellEnd"/>
      <w:r w:rsidRPr="008C3453">
        <w:t xml:space="preserve">, and </w:t>
      </w:r>
      <w:proofErr w:type="spellStart"/>
      <w:r w:rsidRPr="008C3453">
        <w:t>Tirone</w:t>
      </w:r>
      <w:proofErr w:type="spellEnd"/>
      <w:r w:rsidRPr="008C3453">
        <w:t xml:space="preserve"> forthcoming)</w:t>
      </w:r>
      <w:r w:rsidRPr="00C8325C">
        <w:t>. The U.S., still the world’s largest market, has become the world’s largest debtor country. Japan</w:t>
      </w:r>
      <w:r>
        <w:t xml:space="preserve"> remains the world’s largest international creditor overall, but China has displaced it as the largest foreign owner of U.S. Treasury securities.</w:t>
      </w:r>
      <w:r w:rsidRPr="00826FC2">
        <w:rPr>
          <w:rStyle w:val="EndnoteReference"/>
        </w:rPr>
        <w:endnoteReference w:id="11"/>
      </w:r>
      <w:r w:rsidRPr="00826FC2">
        <w:t xml:space="preserve"> </w:t>
      </w:r>
      <w:r>
        <w:t xml:space="preserve">Emerging powers also aspire to be influential </w:t>
      </w:r>
      <w:r w:rsidRPr="008054B5">
        <w:t>in the “soft power” realm of ideas and economic</w:t>
      </w:r>
      <w:r>
        <w:t xml:space="preserve">-financial </w:t>
      </w:r>
      <w:r w:rsidRPr="008054B5">
        <w:lastRenderedPageBreak/>
        <w:t xml:space="preserve">ideologies. </w:t>
      </w:r>
      <w:r w:rsidRPr="00557EFE">
        <w:t xml:space="preserve">The </w:t>
      </w:r>
      <w:r>
        <w:t xml:space="preserve">GFC was a </w:t>
      </w:r>
      <w:r w:rsidRPr="00826FC2">
        <w:t xml:space="preserve">blow to the </w:t>
      </w:r>
      <w:r>
        <w:t xml:space="preserve">credibility of </w:t>
      </w:r>
      <w:r w:rsidRPr="00826FC2">
        <w:t>advanced economies</w:t>
      </w:r>
      <w:r>
        <w:t>,</w:t>
      </w:r>
      <w:r w:rsidRPr="00826FC2">
        <w:t xml:space="preserve"> </w:t>
      </w:r>
      <w:r>
        <w:t>and since then, u</w:t>
      </w:r>
      <w:r w:rsidRPr="00826FC2">
        <w:t>neasiness about the dominance of U.S. dollars has persisted.</w:t>
      </w:r>
      <w:r w:rsidRPr="00826FC2">
        <w:rPr>
          <w:rStyle w:val="EndnoteReference"/>
        </w:rPr>
        <w:endnoteReference w:id="12"/>
      </w:r>
      <w:r w:rsidRPr="00826FC2">
        <w:t xml:space="preserve"> The US Federal Reserve’s quantitative easing, particularly its se</w:t>
      </w:r>
      <w:r w:rsidRPr="00C8325C">
        <w:t>cond phase in 2010, raised concerns of excessive liquidity in the emerging markets (</w:t>
      </w:r>
      <w:proofErr w:type="spellStart"/>
      <w:r w:rsidRPr="00520EE4">
        <w:t>Volz</w:t>
      </w:r>
      <w:proofErr w:type="spellEnd"/>
      <w:r w:rsidRPr="00520EE4">
        <w:t>, ed. 2012</w:t>
      </w:r>
      <w:r w:rsidRPr="00C8325C">
        <w:t>). Brazil’s finance minister suggested that both East Asian mercantilist exchange rate poli</w:t>
      </w:r>
      <w:r w:rsidRPr="00826FC2">
        <w:t xml:space="preserve">cies and U.S. monetary expansion should share the blame for what he </w:t>
      </w:r>
      <w:r>
        <w:t xml:space="preserve">called </w:t>
      </w:r>
      <w:r w:rsidRPr="00826FC2">
        <w:t>a growing “currency war”</w:t>
      </w:r>
      <w:r>
        <w:t xml:space="preserve"> (Wheatley 2010).</w:t>
      </w:r>
      <w:r w:rsidRPr="00826FC2">
        <w:t xml:space="preserve"> In the not-so-far-off future, the G20</w:t>
      </w:r>
      <w:r>
        <w:t xml:space="preserve"> Summits may</w:t>
      </w:r>
      <w:r w:rsidRPr="00826FC2">
        <w:t xml:space="preserve"> become a </w:t>
      </w:r>
      <w:r>
        <w:t xml:space="preserve">key </w:t>
      </w:r>
      <w:r w:rsidRPr="00826FC2">
        <w:t xml:space="preserve">forum where </w:t>
      </w:r>
      <w:r w:rsidRPr="0034731B">
        <w:t>offensive financial statecraft at the systemic level will play out.</w:t>
      </w:r>
    </w:p>
    <w:p w:rsidR="00A62649" w:rsidRPr="0034731B" w:rsidRDefault="00A62649" w:rsidP="00A62649">
      <w:pPr>
        <w:spacing w:line="480" w:lineRule="auto"/>
      </w:pPr>
      <w:r w:rsidRPr="0034731B">
        <w:rPr>
          <w:b/>
        </w:rPr>
        <w:tab/>
      </w:r>
      <w:r w:rsidRPr="0034731B">
        <w:t>In sum,</w:t>
      </w:r>
      <w:r w:rsidRPr="0034731B">
        <w:rPr>
          <w:b/>
        </w:rPr>
        <w:t xml:space="preserve"> </w:t>
      </w:r>
      <w:r w:rsidRPr="0034731B">
        <w:t xml:space="preserve">the emerging market economies have begun to show an interest in engaging in offensive and systemic FS in order to </w:t>
      </w:r>
      <w:r>
        <w:t xml:space="preserve">influence </w:t>
      </w:r>
      <w:r w:rsidRPr="0034731B">
        <w:t xml:space="preserve">global monetary and financial governance. </w:t>
      </w:r>
      <w:r>
        <w:t xml:space="preserve">Acknowledging </w:t>
      </w:r>
      <w:r w:rsidRPr="0034731B">
        <w:t>that the distinction between defensive and offensive is often blurred</w:t>
      </w:r>
      <w:r>
        <w:t>, t</w:t>
      </w:r>
      <w:r w:rsidRPr="0034731B">
        <w:t xml:space="preserve">heir actions at this stage </w:t>
      </w:r>
      <w:r>
        <w:t xml:space="preserve">will more likely be </w:t>
      </w:r>
      <w:r w:rsidRPr="0034731B">
        <w:t xml:space="preserve">construed (at least by themselves) </w:t>
      </w:r>
      <w:r>
        <w:t xml:space="preserve">as </w:t>
      </w:r>
      <w:r w:rsidRPr="0034731B">
        <w:t xml:space="preserve">defensive </w:t>
      </w:r>
      <w:r>
        <w:t xml:space="preserve">rather </w:t>
      </w:r>
      <w:r w:rsidRPr="0034731B">
        <w:t xml:space="preserve">than offensive. </w:t>
      </w:r>
      <w:r>
        <w:t>As their relative capabilities increase, t</w:t>
      </w:r>
      <w:r w:rsidRPr="0034731B">
        <w:t xml:space="preserve">hese governments </w:t>
      </w:r>
      <w:r>
        <w:t xml:space="preserve">will </w:t>
      </w:r>
      <w:r w:rsidRPr="0034731B">
        <w:t xml:space="preserve">demand changes in the workings of global financial markets and collective financial governance in order to protect their economies from systemically-borne volatility and pressures. </w:t>
      </w:r>
    </w:p>
    <w:p w:rsidR="00A62649" w:rsidRPr="000A0C8C" w:rsidRDefault="00A62649" w:rsidP="00A62649">
      <w:pPr>
        <w:spacing w:line="480" w:lineRule="auto"/>
        <w:rPr>
          <w:b/>
          <w:color w:val="4F81BD" w:themeColor="accent1"/>
        </w:rPr>
      </w:pPr>
    </w:p>
    <w:p w:rsidR="00A62649" w:rsidRPr="000D3C1F" w:rsidRDefault="00A62649" w:rsidP="00A62649">
      <w:pPr>
        <w:spacing w:line="480" w:lineRule="auto"/>
      </w:pPr>
      <w:r w:rsidRPr="000D3C1F">
        <w:rPr>
          <w:b/>
        </w:rPr>
        <w:t>VI</w:t>
      </w:r>
      <w:r>
        <w:rPr>
          <w:b/>
        </w:rPr>
        <w:t>I</w:t>
      </w:r>
      <w:r w:rsidRPr="000D3C1F">
        <w:rPr>
          <w:b/>
        </w:rPr>
        <w:t>. The future of international financial relations</w:t>
      </w:r>
    </w:p>
    <w:p w:rsidR="00A62649" w:rsidRPr="00827E52" w:rsidRDefault="00A62649" w:rsidP="00A62649">
      <w:pPr>
        <w:spacing w:line="480" w:lineRule="auto"/>
      </w:pPr>
      <w:r w:rsidRPr="00827E52">
        <w:tab/>
        <w:t>We have suggested that the increased overall material capabilities of the emerging powers, combined with their experiences of financial crises, have intensified their</w:t>
      </w:r>
      <w:r>
        <w:t xml:space="preserve"> eagerness</w:t>
      </w:r>
      <w:r w:rsidRPr="00827E52">
        <w:t xml:space="preserve"> to employ financial levers</w:t>
      </w:r>
      <w:r>
        <w:t xml:space="preserve"> of foreign policy</w:t>
      </w:r>
      <w:r w:rsidRPr="00827E52">
        <w:t xml:space="preserve">. Particularly in the first two </w:t>
      </w:r>
      <w:r>
        <w:t xml:space="preserve">dozen years </w:t>
      </w:r>
      <w:r w:rsidRPr="00827E52">
        <w:t>of the 21</w:t>
      </w:r>
      <w:r w:rsidRPr="00827E52">
        <w:rPr>
          <w:vertAlign w:val="superscript"/>
        </w:rPr>
        <w:t>st</w:t>
      </w:r>
      <w:r w:rsidRPr="00827E52">
        <w:t xml:space="preserve"> century, the FS strategies employed by incumbent governments of emerging powers were transformed from purely bilateral and defensive actions to protect their economies to </w:t>
      </w:r>
      <w:r>
        <w:t xml:space="preserve">the </w:t>
      </w:r>
      <w:r w:rsidRPr="00827E52">
        <w:lastRenderedPageBreak/>
        <w:t xml:space="preserve">utilization of </w:t>
      </w:r>
      <w:r>
        <w:t xml:space="preserve">newly </w:t>
      </w:r>
      <w:r w:rsidRPr="00827E52">
        <w:t xml:space="preserve">assertive strategies, both bilateral and against systemic targets such as the structure of global markets and global financial governance institutions. </w:t>
      </w:r>
      <w:r>
        <w:t>T</w:t>
      </w:r>
      <w:r w:rsidRPr="00827E52">
        <w:t xml:space="preserve">hree </w:t>
      </w:r>
      <w:r>
        <w:t xml:space="preserve">themes </w:t>
      </w:r>
      <w:r w:rsidRPr="00827E52">
        <w:t>emerge.</w:t>
      </w:r>
      <w:r w:rsidRPr="00827E52">
        <w:tab/>
      </w:r>
    </w:p>
    <w:p w:rsidR="00A62649" w:rsidRPr="00827E52" w:rsidRDefault="00A62649" w:rsidP="00A62649">
      <w:pPr>
        <w:spacing w:line="480" w:lineRule="auto"/>
      </w:pPr>
      <w:r w:rsidRPr="00827E52">
        <w:tab/>
        <w:t>First, the redistribution of global financial capabilities away from the traditional post-World War Two industrial democracies and toward large emerging economies is real, and already has had non-trivial consequences in the way in which these governments apply financial statecraft. Now that China is the single largest foreign owner of U.S. Treasury bonds, U.S. policymakers feel vulnerable (</w:t>
      </w:r>
      <w:proofErr w:type="spellStart"/>
      <w:r w:rsidRPr="00827E52">
        <w:t>Drezner</w:t>
      </w:r>
      <w:proofErr w:type="spellEnd"/>
      <w:r w:rsidRPr="00827E52">
        <w:t xml:space="preserve"> 2009). Consequently, the pronouncements of Chinese officials on international currency matters are treated with great respect. Venezuelan loans to Argentina, and Chinese loans to Venezuela and Argentina</w:t>
      </w:r>
      <w:r>
        <w:t>,</w:t>
      </w:r>
      <w:r w:rsidRPr="00827E52">
        <w:t xml:space="preserve"> have enabled these countries—for the moment—to avoid the pain of being shut out of international commercial markets. Brazilian transnational banks plausibly intend to become the major foreign financial presence throughout Latin America. There has been incremental redistribution of IMF voting rights toward China, India, Brazil, Mexico, and other emerging powers. Moreover, the World Bank’s chief economist during and just following the height of the GFC, Justin </w:t>
      </w:r>
      <w:proofErr w:type="spellStart"/>
      <w:r w:rsidRPr="00827E52">
        <w:t>Yifu</w:t>
      </w:r>
      <w:proofErr w:type="spellEnd"/>
      <w:r w:rsidRPr="00827E52">
        <w:t xml:space="preserve"> Lin, was for the first time a Chinese national, who took steps to reorient the institution’s research program in a direction more consistent with East Asian </w:t>
      </w:r>
      <w:r>
        <w:t>perspectives</w:t>
      </w:r>
      <w:r w:rsidRPr="00827E52">
        <w:t xml:space="preserve">. </w:t>
      </w:r>
    </w:p>
    <w:p w:rsidR="00A62649" w:rsidRPr="00827E52" w:rsidRDefault="00A62649" w:rsidP="00A62649">
      <w:pPr>
        <w:spacing w:line="480" w:lineRule="auto"/>
      </w:pPr>
      <w:r w:rsidRPr="00827E52">
        <w:tab/>
        <w:t>Second, the</w:t>
      </w:r>
      <w:r>
        <w:t xml:space="preserve"> GFC</w:t>
      </w:r>
      <w:r w:rsidRPr="00827E52">
        <w:t xml:space="preserve"> arguably </w:t>
      </w:r>
      <w:r>
        <w:t xml:space="preserve">has </w:t>
      </w:r>
      <w:r w:rsidRPr="00827E52">
        <w:t xml:space="preserve">given a chance for emerging market </w:t>
      </w:r>
      <w:r>
        <w:t xml:space="preserve">policymakers </w:t>
      </w:r>
      <w:r w:rsidRPr="00827E52">
        <w:t>to become more</w:t>
      </w:r>
      <w:r>
        <w:t xml:space="preserve"> active</w:t>
      </w:r>
      <w:r w:rsidRPr="00827E52">
        <w:t xml:space="preserve"> on the international stage.  Until recently, the advanced industrial democracies had managed to offer a shining example of capitalist success, so that emerging economies’ decisions to comply with a presumably universally valid “global standard” presupposed the triumph of a neoliberal model of financial regulation and development. Most observers assumed that emerging market economies would have to meet the financial regulatory criteria best exemplified by the U.S. and U.K. in order to have truly developed economies (La </w:t>
      </w:r>
      <w:proofErr w:type="spellStart"/>
      <w:r w:rsidRPr="00827E52">
        <w:lastRenderedPageBreak/>
        <w:t>Porta</w:t>
      </w:r>
      <w:proofErr w:type="spellEnd"/>
      <w:r w:rsidRPr="00827E52">
        <w:t xml:space="preserve"> et al. 1997, </w:t>
      </w:r>
      <w:proofErr w:type="spellStart"/>
      <w:r w:rsidRPr="00827E52">
        <w:t>Hansman</w:t>
      </w:r>
      <w:proofErr w:type="spellEnd"/>
      <w:r w:rsidRPr="00827E52">
        <w:t xml:space="preserve"> and </w:t>
      </w:r>
      <w:proofErr w:type="spellStart"/>
      <w:r w:rsidRPr="00827E52">
        <w:t>Kraakman</w:t>
      </w:r>
      <w:proofErr w:type="spellEnd"/>
      <w:r w:rsidRPr="00827E52">
        <w:t xml:space="preserve"> 2000, Oman 2004). However, the GFC</w:t>
      </w:r>
      <w:r>
        <w:t xml:space="preserve"> undermined their legitimacy and credibility, and made </w:t>
      </w:r>
      <w:r w:rsidRPr="00827E52">
        <w:t xml:space="preserve">many leaders in developing countries skeptical of such a </w:t>
      </w:r>
      <w:r>
        <w:t xml:space="preserve">one-way </w:t>
      </w:r>
      <w:r w:rsidRPr="00827E52">
        <w:t xml:space="preserve">flow of influence. While many </w:t>
      </w:r>
      <w:r>
        <w:t xml:space="preserve">developing </w:t>
      </w:r>
      <w:r w:rsidRPr="00827E52">
        <w:t>countries had employed capital controls to prevent crises and state banks to run counter-cyclical macroeconomic policies in the 1990s and early 2000s, it is only from 2008 that their leaders have felt sufficiently confident to lecture to policymakers in the advanced economies.</w:t>
      </w:r>
      <w:r>
        <w:t xml:space="preserve"> </w:t>
      </w:r>
      <w:r w:rsidRPr="00827E52">
        <w:t>Many key emerging market governments are voicing their dissatisfaction with the global governance arrangements they have inherited, yet admittedly they have not agreed as to which new directions they would like to push global institutional reforms in (</w:t>
      </w:r>
      <w:proofErr w:type="spellStart"/>
      <w:r w:rsidRPr="00827E52">
        <w:t>Borzel</w:t>
      </w:r>
      <w:proofErr w:type="spellEnd"/>
      <w:r w:rsidRPr="00827E52">
        <w:t xml:space="preserve"> 2012). </w:t>
      </w:r>
    </w:p>
    <w:p w:rsidR="00A62649" w:rsidRPr="00827E52" w:rsidRDefault="00A62649" w:rsidP="00A62649">
      <w:pPr>
        <w:spacing w:line="480" w:lineRule="auto"/>
      </w:pPr>
      <w:r w:rsidRPr="00827E52">
        <w:tab/>
        <w:t xml:space="preserve">Finally, we conclude by noting that we do not anticipate that the mostly liberal, mostly cooperative postwar international order faces danger in the near future.  While it is important to highlight the emerging powers’ increasing voice within the network of liberal international institutions established to govern the world political economy since the end of the Second World War, the emerging powers’ systemic financial strategies </w:t>
      </w:r>
      <w:r>
        <w:t xml:space="preserve">to date </w:t>
      </w:r>
      <w:r w:rsidRPr="00827E52">
        <w:t xml:space="preserve">remain primarily defensive, aiming at participation in rather than transformation of the existing international market and regulatory systems. We can also be comforted by the fact that many of these emerging powers are </w:t>
      </w:r>
      <w:r w:rsidRPr="00827E52">
        <w:rPr>
          <w:i/>
        </w:rPr>
        <w:t>democratic</w:t>
      </w:r>
      <w:r w:rsidRPr="00827E52">
        <w:t xml:space="preserve"> (as with India, Brazil, and South Africa, as well as most of Latin America and, more recently, East and Southeast Asia) and/or </w:t>
      </w:r>
      <w:r w:rsidRPr="00827E52">
        <w:rPr>
          <w:i/>
        </w:rPr>
        <w:t xml:space="preserve">outward-oriented </w:t>
      </w:r>
      <w:r>
        <w:t xml:space="preserve">and clear beneficiaries of open global trade </w:t>
      </w:r>
      <w:r w:rsidRPr="00827E52">
        <w:t>(as with China, all of East and Southeast Asia, most of Latin America, and increasingly even India).  Both democracy and outward-orientation lead governments to have large stakes in maintaining the liberal economic order and enhancing international cooperation (Leeds 1999; Mansfield, Milner</w:t>
      </w:r>
      <w:r>
        <w:t>,</w:t>
      </w:r>
      <w:r w:rsidRPr="00827E52">
        <w:t xml:space="preserve"> and </w:t>
      </w:r>
      <w:proofErr w:type="spellStart"/>
      <w:r w:rsidRPr="00827E52">
        <w:t>Rosendorff</w:t>
      </w:r>
      <w:proofErr w:type="spellEnd"/>
      <w:r w:rsidRPr="00827E52">
        <w:t xml:space="preserve"> 2002; Mansfield and Solingen 2010, </w:t>
      </w:r>
      <w:proofErr w:type="spellStart"/>
      <w:r w:rsidRPr="00827E52">
        <w:t>Ikenberry</w:t>
      </w:r>
      <w:proofErr w:type="spellEnd"/>
      <w:r w:rsidRPr="00827E52">
        <w:t xml:space="preserve"> 2012). Hence although we expect increasing use of voice and other forms of assertive financial </w:t>
      </w:r>
      <w:r w:rsidRPr="00827E52">
        <w:lastRenderedPageBreak/>
        <w:t xml:space="preserve">statecraft by the BRICS countries and other emerging powers, this change </w:t>
      </w:r>
      <w:r>
        <w:t xml:space="preserve">does </w:t>
      </w:r>
      <w:r w:rsidRPr="00827E52">
        <w:t xml:space="preserve">not necessarily </w:t>
      </w:r>
      <w:r>
        <w:t xml:space="preserve">undercut nor threaten </w:t>
      </w:r>
      <w:r w:rsidRPr="00827E52">
        <w:t xml:space="preserve">the </w:t>
      </w:r>
      <w:r>
        <w:t xml:space="preserve">existing liberal </w:t>
      </w:r>
      <w:r w:rsidRPr="00827E52">
        <w:t>global</w:t>
      </w:r>
      <w:r>
        <w:t xml:space="preserve"> economy</w:t>
      </w:r>
      <w:r w:rsidRPr="00827E52">
        <w:t>.</w:t>
      </w:r>
    </w:p>
    <w:p w:rsidR="00A62649" w:rsidRPr="00366500" w:rsidRDefault="00A62649" w:rsidP="00A62649">
      <w:pPr>
        <w:spacing w:line="480" w:lineRule="auto"/>
        <w:rPr>
          <w:b/>
        </w:rPr>
      </w:pPr>
      <w:r w:rsidRPr="00366500">
        <w:rPr>
          <w:b/>
        </w:rPr>
        <w:br w:type="page"/>
      </w:r>
    </w:p>
    <w:p w:rsidR="00A62649" w:rsidRDefault="00A62649" w:rsidP="00A62649">
      <w:pPr>
        <w:spacing w:line="480" w:lineRule="auto"/>
        <w:rPr>
          <w:b/>
        </w:rPr>
      </w:pPr>
    </w:p>
    <w:p w:rsidR="00A62649" w:rsidRDefault="00A62649" w:rsidP="00A62649">
      <w:pPr>
        <w:spacing w:line="480" w:lineRule="auto"/>
        <w:rPr>
          <w:b/>
        </w:rPr>
      </w:pPr>
      <w:r>
        <w:rPr>
          <w:b/>
        </w:rPr>
        <w:t>References</w:t>
      </w:r>
    </w:p>
    <w:p w:rsidR="00A62649" w:rsidRDefault="00A62649" w:rsidP="00A62649">
      <w:pPr>
        <w:spacing w:line="480" w:lineRule="auto"/>
        <w:ind w:left="720" w:hanging="720"/>
        <w:rPr>
          <w:color w:val="FF0000"/>
        </w:rPr>
      </w:pPr>
      <w:r>
        <w:t xml:space="preserve">Andrade, M  (2013), ‘Argentina Asks U.S. for Rehearing on Debt Payment,’ </w:t>
      </w:r>
      <w:hyperlink r:id="rId8" w:history="1">
        <w:r w:rsidRPr="00D326E1">
          <w:rPr>
            <w:rStyle w:val="Hyperlink"/>
          </w:rPr>
          <w:t>http://uk.finance.yahoo.com/news/argentina-asks-us-court-rehearing-185407695.html</w:t>
        </w:r>
      </w:hyperlink>
    </w:p>
    <w:p w:rsidR="00A62649" w:rsidRDefault="00A62649" w:rsidP="00A62649">
      <w:pPr>
        <w:spacing w:line="480" w:lineRule="auto"/>
        <w:ind w:left="720" w:hanging="720"/>
      </w:pPr>
      <w:r>
        <w:t xml:space="preserve">Andrews, D. M. (2006), ‘Monetary Power and Monetary Statecraft,’ in D.M. Andrews (ed.) </w:t>
      </w:r>
      <w:r>
        <w:rPr>
          <w:i/>
        </w:rPr>
        <w:t>International Monetary Power</w:t>
      </w:r>
      <w:r>
        <w:t xml:space="preserve"> (Ithaca: Cornell University Press), pp. 7-28. </w:t>
      </w:r>
    </w:p>
    <w:p w:rsidR="00A62649" w:rsidRDefault="00A62649" w:rsidP="00A62649">
      <w:pPr>
        <w:spacing w:line="480" w:lineRule="auto"/>
        <w:ind w:left="720" w:hanging="720"/>
      </w:pPr>
      <w:r>
        <w:t xml:space="preserve">Armijo, L. E. (ed.) (2002), </w:t>
      </w:r>
      <w:r>
        <w:rPr>
          <w:i/>
          <w:iCs/>
        </w:rPr>
        <w:t xml:space="preserve">Debating </w:t>
      </w:r>
      <w:r>
        <w:rPr>
          <w:i/>
        </w:rPr>
        <w:t>the Global Financial Architecture</w:t>
      </w:r>
      <w:r>
        <w:t xml:space="preserve"> (Albany, NY: SUNY Press).</w:t>
      </w:r>
    </w:p>
    <w:p w:rsidR="00A62649" w:rsidRDefault="00A62649" w:rsidP="00A62649">
      <w:pPr>
        <w:tabs>
          <w:tab w:val="left" w:pos="864"/>
        </w:tabs>
        <w:spacing w:line="480" w:lineRule="auto"/>
        <w:ind w:left="720" w:hanging="720"/>
      </w:pPr>
      <w:r>
        <w:t xml:space="preserve">Armijo, L. E., </w:t>
      </w:r>
      <w:proofErr w:type="spellStart"/>
      <w:r>
        <w:t>Muehlich</w:t>
      </w:r>
      <w:proofErr w:type="spellEnd"/>
      <w:r>
        <w:t xml:space="preserve">, L. and </w:t>
      </w:r>
      <w:proofErr w:type="spellStart"/>
      <w:r>
        <w:t>Tirone</w:t>
      </w:r>
      <w:proofErr w:type="spellEnd"/>
      <w:r>
        <w:t xml:space="preserve">, D. (Forthcoming), ‘The Systemic Financial Importance of Emerging Powers,’ in P. De </w:t>
      </w:r>
      <w:proofErr w:type="spellStart"/>
      <w:r>
        <w:t>Lombaerde</w:t>
      </w:r>
      <w:proofErr w:type="spellEnd"/>
      <w:r>
        <w:t xml:space="preserve"> (ed.) Special Issue ‘Measuring and Modeling Regional Powers,’ </w:t>
      </w:r>
      <w:r w:rsidRPr="00551086">
        <w:rPr>
          <w:i/>
        </w:rPr>
        <w:t>Journal of Policy Modeling</w:t>
      </w:r>
    </w:p>
    <w:p w:rsidR="00A62649" w:rsidRDefault="00A62649" w:rsidP="00A62649">
      <w:pPr>
        <w:tabs>
          <w:tab w:val="left" w:pos="864"/>
        </w:tabs>
        <w:spacing w:line="480" w:lineRule="auto"/>
        <w:ind w:left="720" w:hanging="720"/>
      </w:pPr>
      <w:r>
        <w:t xml:space="preserve">Armijo, L. E. and Roberts, C. (Forthcoming), ‘The Emerging Powers and Global Governance: Why the BRICS Matter’, In R. Looney (ed.) </w:t>
      </w:r>
      <w:r w:rsidRPr="00551086">
        <w:rPr>
          <w:i/>
        </w:rPr>
        <w:t>Handbook of Emerging Economies</w:t>
      </w:r>
      <w:r>
        <w:t xml:space="preserve">. (New York, NY: </w:t>
      </w:r>
      <w:proofErr w:type="spellStart"/>
      <w:r>
        <w:t>Routledge</w:t>
      </w:r>
      <w:proofErr w:type="spellEnd"/>
      <w:r>
        <w:t>).</w:t>
      </w:r>
    </w:p>
    <w:p w:rsidR="00A62649" w:rsidRDefault="00A62649" w:rsidP="00A62649">
      <w:pPr>
        <w:tabs>
          <w:tab w:val="left" w:pos="864"/>
        </w:tabs>
        <w:spacing w:line="480" w:lineRule="auto"/>
        <w:ind w:left="720" w:hanging="720"/>
      </w:pPr>
      <w:proofErr w:type="spellStart"/>
      <w:r>
        <w:t>Amsden</w:t>
      </w:r>
      <w:proofErr w:type="spellEnd"/>
      <w:r>
        <w:t>, A</w:t>
      </w:r>
      <w:r w:rsidRPr="00D221CF">
        <w:t xml:space="preserve">. </w:t>
      </w:r>
      <w:r>
        <w:t>(1992),</w:t>
      </w:r>
      <w:r w:rsidRPr="00D221CF">
        <w:t xml:space="preserve"> </w:t>
      </w:r>
      <w:r w:rsidRPr="00EC683B">
        <w:rPr>
          <w:i/>
        </w:rPr>
        <w:t>Asia’s Next Giant: South Korea and Late Industrialization</w:t>
      </w:r>
      <w:r w:rsidRPr="00D221CF">
        <w:t xml:space="preserve"> </w:t>
      </w:r>
      <w:r>
        <w:t>(New York: Oxford University Press).</w:t>
      </w:r>
    </w:p>
    <w:p w:rsidR="00A62649" w:rsidRDefault="00A62649" w:rsidP="00A62649">
      <w:pPr>
        <w:tabs>
          <w:tab w:val="left" w:pos="864"/>
        </w:tabs>
        <w:spacing w:line="480" w:lineRule="auto"/>
        <w:ind w:left="720" w:hanging="720"/>
      </w:pPr>
      <w:r>
        <w:t>Baldwin, D.A. (1985),</w:t>
      </w:r>
      <w:r>
        <w:rPr>
          <w:i/>
        </w:rPr>
        <w:t xml:space="preserve"> Economic Statecraft</w:t>
      </w:r>
      <w:r>
        <w:t xml:space="preserve">  (Princeton: Princeton University Press).</w:t>
      </w:r>
    </w:p>
    <w:p w:rsidR="00A62649" w:rsidRDefault="00A62649" w:rsidP="00A62649">
      <w:pPr>
        <w:spacing w:line="480" w:lineRule="auto"/>
        <w:ind w:left="720" w:hanging="720"/>
      </w:pPr>
      <w:r>
        <w:t xml:space="preserve">Barnett, M. and Duvall, R. (2005), ‘Power in International Politics’, </w:t>
      </w:r>
      <w:r>
        <w:rPr>
          <w:i/>
        </w:rPr>
        <w:t>International Organization</w:t>
      </w:r>
      <w:r>
        <w:t>,</w:t>
      </w:r>
      <w:r>
        <w:rPr>
          <w:i/>
        </w:rPr>
        <w:t xml:space="preserve">  </w:t>
      </w:r>
      <w:r>
        <w:t>59 (Winter) pp.39-75.</w:t>
      </w:r>
    </w:p>
    <w:p w:rsidR="00A62649" w:rsidRDefault="00A62649" w:rsidP="00A62649">
      <w:pPr>
        <w:tabs>
          <w:tab w:val="left" w:pos="864"/>
        </w:tabs>
        <w:spacing w:line="480" w:lineRule="auto"/>
        <w:ind w:left="720" w:hanging="720"/>
      </w:pPr>
      <w:r>
        <w:t xml:space="preserve">Beck, T. and </w:t>
      </w:r>
      <w:proofErr w:type="spellStart"/>
      <w:r>
        <w:t>Demirguc-Kunt</w:t>
      </w:r>
      <w:proofErr w:type="spellEnd"/>
      <w:r>
        <w:t>, A. (2009), ‘Financial Institutions and Markets Across Countries and Over Time: Data and Analysis’, World Bank Policy Research Working Paper No. 4943, May.</w:t>
      </w:r>
    </w:p>
    <w:p w:rsidR="00A62649" w:rsidRPr="00607D2D" w:rsidRDefault="00A62649" w:rsidP="00A62649">
      <w:pPr>
        <w:tabs>
          <w:tab w:val="left" w:pos="864"/>
        </w:tabs>
        <w:spacing w:line="480" w:lineRule="auto"/>
        <w:ind w:left="720" w:hanging="720"/>
      </w:pPr>
      <w:r>
        <w:lastRenderedPageBreak/>
        <w:t xml:space="preserve">Bergsten, C.F. and Henning, C.R. (1996), </w:t>
      </w:r>
      <w:r>
        <w:rPr>
          <w:i/>
        </w:rPr>
        <w:t xml:space="preserve">Global Economic Leadership and the Group of Seven </w:t>
      </w:r>
      <w:r>
        <w:t>(Washington, D.C.: Institute for International Economics).</w:t>
      </w:r>
    </w:p>
    <w:p w:rsidR="00A62649" w:rsidRDefault="00A62649" w:rsidP="00A62649">
      <w:pPr>
        <w:spacing w:line="480" w:lineRule="auto"/>
        <w:ind w:left="720" w:hanging="720"/>
      </w:pPr>
      <w:r>
        <w:t xml:space="preserve">Bernanke, B.S. (2005), ‘The Global Savings Glut and the U.S. Current Account Deficit’, </w:t>
      </w:r>
      <w:proofErr w:type="spellStart"/>
      <w:r>
        <w:t>Sandridge</w:t>
      </w:r>
      <w:proofErr w:type="spellEnd"/>
      <w:r>
        <w:t xml:space="preserve"> Lecture, Richmond, Virginia: Virginia Association of Economists, March 10.</w:t>
      </w:r>
    </w:p>
    <w:p w:rsidR="00A62649" w:rsidRDefault="00A62649" w:rsidP="00A62649">
      <w:pPr>
        <w:spacing w:line="480" w:lineRule="auto"/>
        <w:ind w:left="720" w:hanging="720"/>
      </w:pPr>
      <w:proofErr w:type="spellStart"/>
      <w:r>
        <w:t>Biancareli</w:t>
      </w:r>
      <w:proofErr w:type="spellEnd"/>
      <w:r>
        <w:t>, A.M. (2011), ‘Financial Cooperation and Reserve Pooling: The Case of Latin American Reserve Fund’, Paper presented at Free University of Berlin, Department of Economics, Workshop on Regional Monetary Cooperation, November 14.</w:t>
      </w:r>
    </w:p>
    <w:p w:rsidR="00A62649" w:rsidRPr="004A1424" w:rsidRDefault="00A62649" w:rsidP="00A62649">
      <w:pPr>
        <w:tabs>
          <w:tab w:val="left" w:pos="864"/>
        </w:tabs>
        <w:spacing w:line="480" w:lineRule="auto"/>
        <w:ind w:left="720" w:hanging="720"/>
        <w:jc w:val="both"/>
      </w:pPr>
      <w:proofErr w:type="spellStart"/>
      <w:r>
        <w:t>Biersteker</w:t>
      </w:r>
      <w:proofErr w:type="spellEnd"/>
      <w:r>
        <w:t xml:space="preserve">, T.J. (1993), </w:t>
      </w:r>
      <w:r>
        <w:rPr>
          <w:i/>
        </w:rPr>
        <w:t xml:space="preserve">Dealing with Debt: International Financial Negotiations and Adjustment Bargaining </w:t>
      </w:r>
      <w:r>
        <w:t>(Boulder, CO: Westview Press).</w:t>
      </w:r>
    </w:p>
    <w:p w:rsidR="00A62649" w:rsidRDefault="00A62649" w:rsidP="00A62649">
      <w:pPr>
        <w:tabs>
          <w:tab w:val="left" w:pos="864"/>
        </w:tabs>
        <w:spacing w:line="480" w:lineRule="auto"/>
        <w:ind w:left="720" w:hanging="720"/>
        <w:jc w:val="both"/>
      </w:pPr>
      <w:r>
        <w:t xml:space="preserve">Blanchard, J.M.F. and </w:t>
      </w:r>
      <w:proofErr w:type="spellStart"/>
      <w:r>
        <w:t>Ripman</w:t>
      </w:r>
      <w:proofErr w:type="spellEnd"/>
      <w:r>
        <w:t>, N.M. (2008), “A Political Theory of Economic Statecraft.”</w:t>
      </w:r>
      <w:r>
        <w:rPr>
          <w:i/>
        </w:rPr>
        <w:t xml:space="preserve"> Foreign Policy Analysis</w:t>
      </w:r>
      <w:r>
        <w:t xml:space="preserve"> 4, pp. 371-398.</w:t>
      </w:r>
    </w:p>
    <w:p w:rsidR="00A62649" w:rsidRPr="008D1BDC" w:rsidRDefault="00A62649" w:rsidP="00A62649">
      <w:pPr>
        <w:tabs>
          <w:tab w:val="left" w:pos="864"/>
        </w:tabs>
        <w:spacing w:line="480" w:lineRule="auto"/>
        <w:ind w:left="864" w:hanging="864"/>
        <w:jc w:val="both"/>
      </w:pPr>
      <w:r>
        <w:t>Block, F.L. (1978),</w:t>
      </w:r>
      <w:r w:rsidRPr="008D1BDC">
        <w:t xml:space="preserve"> </w:t>
      </w:r>
      <w:r w:rsidRPr="008D1BDC">
        <w:rPr>
          <w:i/>
        </w:rPr>
        <w:t>The Origins of International Economic Disorder: A Study of United States International Monetary Policy f</w:t>
      </w:r>
      <w:r>
        <w:rPr>
          <w:i/>
        </w:rPr>
        <w:t>rom World War II to the Present</w:t>
      </w:r>
      <w:r w:rsidRPr="008D1BDC">
        <w:rPr>
          <w:i/>
        </w:rPr>
        <w:t xml:space="preserve"> </w:t>
      </w:r>
      <w:r>
        <w:t>(</w:t>
      </w:r>
      <w:r w:rsidRPr="008D1BDC">
        <w:t>Berkeley, CA:</w:t>
      </w:r>
      <w:r>
        <w:t xml:space="preserve"> University of California Press).</w:t>
      </w:r>
    </w:p>
    <w:p w:rsidR="00A62649" w:rsidRPr="008D1BDC" w:rsidRDefault="00A62649" w:rsidP="00A62649">
      <w:pPr>
        <w:tabs>
          <w:tab w:val="left" w:pos="864"/>
        </w:tabs>
        <w:spacing w:line="480" w:lineRule="auto"/>
        <w:ind w:left="864" w:hanging="864"/>
        <w:jc w:val="both"/>
      </w:pPr>
      <w:proofErr w:type="spellStart"/>
      <w:r>
        <w:t>Blustein</w:t>
      </w:r>
      <w:proofErr w:type="spellEnd"/>
      <w:r>
        <w:t>, P</w:t>
      </w:r>
      <w:r w:rsidRPr="008D1BDC">
        <w:t xml:space="preserve">. </w:t>
      </w:r>
      <w:r>
        <w:t>(2001),</w:t>
      </w:r>
      <w:r w:rsidRPr="008D1BDC">
        <w:t xml:space="preserve"> </w:t>
      </w:r>
      <w:r w:rsidRPr="008D1BDC">
        <w:rPr>
          <w:i/>
          <w:iCs/>
        </w:rPr>
        <w:t>The Chastening: Inside the Crisis that Rocked the Global Financial System and Humbled the IMF</w:t>
      </w:r>
      <w:r w:rsidRPr="008D1BDC">
        <w:t xml:space="preserve"> </w:t>
      </w:r>
      <w:r>
        <w:t>(New York: Public Affairs).</w:t>
      </w:r>
    </w:p>
    <w:p w:rsidR="00A62649" w:rsidRDefault="00A62649" w:rsidP="00A62649">
      <w:pPr>
        <w:tabs>
          <w:tab w:val="left" w:pos="864"/>
        </w:tabs>
        <w:spacing w:line="480" w:lineRule="auto"/>
        <w:ind w:left="720" w:hanging="720"/>
        <w:jc w:val="both"/>
      </w:pPr>
      <w:proofErr w:type="spellStart"/>
      <w:r>
        <w:t>Borzel</w:t>
      </w:r>
      <w:proofErr w:type="spellEnd"/>
      <w:r>
        <w:t xml:space="preserve">, T.A. (2012), ‘The Myth of the Rising Powers’, Department of Political Science, Free University of Berlin; Accessed at: </w:t>
      </w:r>
      <w:r w:rsidRPr="005C1A09">
        <w:t>http://ifair.wordpress.com/2012/05/01/the-myth-of-the-rising-powers/</w:t>
      </w:r>
    </w:p>
    <w:p w:rsidR="00A62649" w:rsidRPr="00965D37" w:rsidRDefault="00A62649" w:rsidP="00A62649">
      <w:pPr>
        <w:tabs>
          <w:tab w:val="left" w:pos="864"/>
        </w:tabs>
        <w:spacing w:line="480" w:lineRule="auto"/>
        <w:ind w:left="720" w:hanging="720"/>
        <w:jc w:val="both"/>
      </w:pPr>
      <w:r>
        <w:t xml:space="preserve">Chin, G.T. (2010), ‘Remaking the architecture: The emerging powers, self-insuring and regional insulation’, </w:t>
      </w:r>
      <w:r>
        <w:rPr>
          <w:i/>
        </w:rPr>
        <w:t xml:space="preserve">International Affairs </w:t>
      </w:r>
      <w:r>
        <w:t>86 (3) pp. 693-715.</w:t>
      </w:r>
    </w:p>
    <w:p w:rsidR="00A62649" w:rsidRDefault="00A62649" w:rsidP="00A62649">
      <w:pPr>
        <w:spacing w:line="480" w:lineRule="auto"/>
        <w:ind w:left="720" w:hanging="720"/>
      </w:pPr>
      <w:proofErr w:type="spellStart"/>
      <w:r>
        <w:t>Ciorciari</w:t>
      </w:r>
      <w:proofErr w:type="spellEnd"/>
      <w:r>
        <w:t>, J.</w:t>
      </w:r>
      <w:r w:rsidRPr="00D221CF">
        <w:t xml:space="preserve">D. </w:t>
      </w:r>
      <w:r>
        <w:t>(2011), ‘</w:t>
      </w:r>
      <w:r w:rsidRPr="00D221CF">
        <w:t xml:space="preserve">Chiang Mai Initiative </w:t>
      </w:r>
      <w:proofErr w:type="spellStart"/>
      <w:r w:rsidRPr="00D221CF">
        <w:t>Multilateralization</w:t>
      </w:r>
      <w:proofErr w:type="spellEnd"/>
      <w:r w:rsidRPr="00D221CF">
        <w:t xml:space="preserve"> International Politics an</w:t>
      </w:r>
      <w:r>
        <w:t>d Institution-Building in Asia’,</w:t>
      </w:r>
      <w:r w:rsidRPr="00D221CF">
        <w:t xml:space="preserve"> </w:t>
      </w:r>
      <w:r w:rsidRPr="00D82504">
        <w:rPr>
          <w:i/>
        </w:rPr>
        <w:t>Asian Survey</w:t>
      </w:r>
      <w:r w:rsidRPr="00D221CF">
        <w:t xml:space="preserve">. 51(5): </w:t>
      </w:r>
      <w:r>
        <w:t xml:space="preserve">pp. </w:t>
      </w:r>
      <w:r w:rsidRPr="00D221CF">
        <w:t>926-952.</w:t>
      </w:r>
    </w:p>
    <w:p w:rsidR="00A62649" w:rsidRDefault="00A62649" w:rsidP="00A62649">
      <w:pPr>
        <w:spacing w:line="480" w:lineRule="auto"/>
        <w:ind w:left="720" w:hanging="720"/>
      </w:pPr>
      <w:r>
        <w:lastRenderedPageBreak/>
        <w:t xml:space="preserve">Cohen, B. J. (1966), ‘Adjustment Costs and the Distribution of New Reserves’, </w:t>
      </w:r>
      <w:r>
        <w:rPr>
          <w:i/>
        </w:rPr>
        <w:t>Princeton Studies in International Finance</w:t>
      </w:r>
      <w:r>
        <w:t>, 18.</w:t>
      </w:r>
    </w:p>
    <w:p w:rsidR="00A62649" w:rsidRDefault="00A62649" w:rsidP="00A62649">
      <w:pPr>
        <w:spacing w:line="480" w:lineRule="auto"/>
        <w:ind w:left="720" w:hanging="720"/>
        <w:rPr>
          <w:rFonts w:eastAsiaTheme="minorHAnsi"/>
        </w:rPr>
      </w:pPr>
      <w:r>
        <w:rPr>
          <w:rFonts w:eastAsiaTheme="minorHAnsi"/>
        </w:rPr>
        <w:t xml:space="preserve">Cohen, B.J. (1998), </w:t>
      </w:r>
      <w:r>
        <w:rPr>
          <w:rFonts w:eastAsiaTheme="minorHAnsi"/>
          <w:i/>
        </w:rPr>
        <w:t xml:space="preserve">The Geography of Money </w:t>
      </w:r>
      <w:r>
        <w:rPr>
          <w:rFonts w:eastAsiaTheme="minorHAnsi"/>
        </w:rPr>
        <w:t>(Ithaca: Cornell University Press).</w:t>
      </w:r>
    </w:p>
    <w:p w:rsidR="00A62649" w:rsidRDefault="00A62649" w:rsidP="00A62649">
      <w:pPr>
        <w:spacing w:line="480" w:lineRule="auto"/>
        <w:ind w:left="720" w:hanging="720"/>
        <w:rPr>
          <w:rFonts w:eastAsiaTheme="minorHAnsi"/>
        </w:rPr>
      </w:pPr>
      <w:r>
        <w:rPr>
          <w:rFonts w:eastAsiaTheme="minorHAnsi"/>
        </w:rPr>
        <w:t xml:space="preserve">Cohen, B.J. (2006), ‘The </w:t>
      </w:r>
      <w:proofErr w:type="spellStart"/>
      <w:r>
        <w:rPr>
          <w:rFonts w:eastAsiaTheme="minorHAnsi"/>
        </w:rPr>
        <w:t>Macrofoundations</w:t>
      </w:r>
      <w:proofErr w:type="spellEnd"/>
      <w:r>
        <w:rPr>
          <w:rFonts w:eastAsiaTheme="minorHAnsi"/>
        </w:rPr>
        <w:t xml:space="preserve"> of Monetary Power’, in D.M. Andrews (ed.) </w:t>
      </w:r>
      <w:r>
        <w:rPr>
          <w:rFonts w:eastAsiaTheme="minorHAnsi"/>
          <w:i/>
        </w:rPr>
        <w:t>International Monetary Power</w:t>
      </w:r>
      <w:r>
        <w:rPr>
          <w:rFonts w:eastAsiaTheme="minorHAnsi"/>
        </w:rPr>
        <w:t xml:space="preserve"> (Ithaca: Cornell University Press), pp. 31-50.</w:t>
      </w:r>
    </w:p>
    <w:p w:rsidR="00A62649" w:rsidRDefault="00A62649" w:rsidP="00A62649">
      <w:pPr>
        <w:spacing w:line="480" w:lineRule="auto"/>
        <w:ind w:left="720" w:hanging="720"/>
        <w:rPr>
          <w:rFonts w:eastAsiaTheme="minorHAnsi"/>
        </w:rPr>
      </w:pPr>
      <w:r>
        <w:rPr>
          <w:rFonts w:eastAsiaTheme="minorHAnsi"/>
        </w:rPr>
        <w:t xml:space="preserve">Cohen, B. J. (2009), </w:t>
      </w:r>
      <w:r>
        <w:t xml:space="preserve">‘Dollar Dominance, Euro Aspirations: Recipe for Discord?’, </w:t>
      </w:r>
      <w:r>
        <w:rPr>
          <w:i/>
          <w:iCs/>
        </w:rPr>
        <w:t>Journal of Common Market Studies</w:t>
      </w:r>
      <w:r>
        <w:t>, 47 (4), September.</w:t>
      </w:r>
    </w:p>
    <w:p w:rsidR="00A62649" w:rsidRDefault="00A62649" w:rsidP="00A62649">
      <w:pPr>
        <w:spacing w:line="480" w:lineRule="auto"/>
        <w:ind w:left="720" w:hanging="720"/>
        <w:rPr>
          <w:rFonts w:eastAsiaTheme="minorHAnsi"/>
        </w:rPr>
      </w:pPr>
      <w:proofErr w:type="spellStart"/>
      <w:r>
        <w:rPr>
          <w:rFonts w:eastAsiaTheme="minorHAnsi"/>
        </w:rPr>
        <w:t>Cortright</w:t>
      </w:r>
      <w:proofErr w:type="spellEnd"/>
      <w:r>
        <w:rPr>
          <w:rFonts w:eastAsiaTheme="minorHAnsi"/>
        </w:rPr>
        <w:t>, D. and. Lopez, G.A. (</w:t>
      </w:r>
      <w:proofErr w:type="spellStart"/>
      <w:r>
        <w:rPr>
          <w:rFonts w:eastAsiaTheme="minorHAnsi"/>
        </w:rPr>
        <w:t>eds</w:t>
      </w:r>
      <w:proofErr w:type="spellEnd"/>
      <w:r>
        <w:rPr>
          <w:rFonts w:eastAsiaTheme="minorHAnsi"/>
        </w:rPr>
        <w:t xml:space="preserve">) (2002),  </w:t>
      </w:r>
      <w:r>
        <w:rPr>
          <w:rFonts w:eastAsiaTheme="minorHAnsi"/>
          <w:i/>
        </w:rPr>
        <w:t>Smart Sanctions: Targeting Economic Statecraft</w:t>
      </w:r>
      <w:r>
        <w:rPr>
          <w:rFonts w:eastAsiaTheme="minorHAnsi"/>
        </w:rPr>
        <w:t xml:space="preserve">. (Lanham, Maryland: </w:t>
      </w:r>
      <w:proofErr w:type="spellStart"/>
      <w:r>
        <w:rPr>
          <w:rFonts w:eastAsiaTheme="minorHAnsi"/>
        </w:rPr>
        <w:t>Rowman</w:t>
      </w:r>
      <w:proofErr w:type="spellEnd"/>
      <w:r>
        <w:rPr>
          <w:rFonts w:eastAsiaTheme="minorHAnsi"/>
        </w:rPr>
        <w:t xml:space="preserve"> &amp; Littlefield Publishers).</w:t>
      </w:r>
    </w:p>
    <w:p w:rsidR="00A62649" w:rsidRDefault="00A62649" w:rsidP="00A62649">
      <w:pPr>
        <w:spacing w:line="480" w:lineRule="auto"/>
        <w:ind w:left="720" w:hanging="720"/>
        <w:rPr>
          <w:rFonts w:eastAsiaTheme="minorHAnsi"/>
        </w:rPr>
      </w:pPr>
      <w:proofErr w:type="spellStart"/>
      <w:r w:rsidRPr="00D221CF">
        <w:rPr>
          <w:rFonts w:eastAsiaTheme="minorHAnsi"/>
        </w:rPr>
        <w:t>Darity</w:t>
      </w:r>
      <w:proofErr w:type="spellEnd"/>
      <w:r w:rsidRPr="00D221CF">
        <w:rPr>
          <w:rFonts w:eastAsiaTheme="minorHAnsi"/>
        </w:rPr>
        <w:t xml:space="preserve">, </w:t>
      </w:r>
      <w:r>
        <w:rPr>
          <w:rFonts w:eastAsiaTheme="minorHAnsi"/>
        </w:rPr>
        <w:t xml:space="preserve">W. Jr. and Horn, B.L. (1988), </w:t>
      </w:r>
      <w:r w:rsidRPr="008054B5">
        <w:rPr>
          <w:rFonts w:eastAsiaTheme="minorHAnsi"/>
          <w:i/>
        </w:rPr>
        <w:t>The Loan Pushers: The Role of Commercial Banks in the International Debt Crisis</w:t>
      </w:r>
      <w:r w:rsidRPr="00D221CF">
        <w:rPr>
          <w:rFonts w:eastAsiaTheme="minorHAnsi"/>
        </w:rPr>
        <w:t xml:space="preserve"> </w:t>
      </w:r>
      <w:r>
        <w:rPr>
          <w:rFonts w:eastAsiaTheme="minorHAnsi"/>
        </w:rPr>
        <w:t>(Cambridge, MA:</w:t>
      </w:r>
      <w:r w:rsidRPr="00D221CF">
        <w:rPr>
          <w:rFonts w:eastAsiaTheme="minorHAnsi"/>
        </w:rPr>
        <w:t xml:space="preserve"> Ballinger</w:t>
      </w:r>
      <w:r>
        <w:rPr>
          <w:rFonts w:eastAsiaTheme="minorHAnsi"/>
        </w:rPr>
        <w:t>).</w:t>
      </w:r>
    </w:p>
    <w:p w:rsidR="00A62649" w:rsidRDefault="00A62649" w:rsidP="00A62649">
      <w:pPr>
        <w:spacing w:line="480" w:lineRule="auto"/>
        <w:ind w:left="720" w:hanging="720"/>
        <w:rPr>
          <w:rStyle w:val="Style12pt"/>
        </w:rPr>
      </w:pPr>
      <w:r>
        <w:rPr>
          <w:rStyle w:val="Style12pt"/>
        </w:rPr>
        <w:t xml:space="preserve">De </w:t>
      </w:r>
      <w:proofErr w:type="spellStart"/>
      <w:r>
        <w:rPr>
          <w:rStyle w:val="Style12pt"/>
        </w:rPr>
        <w:t>Cecco</w:t>
      </w:r>
      <w:proofErr w:type="spellEnd"/>
      <w:r>
        <w:rPr>
          <w:rStyle w:val="Style12pt"/>
        </w:rPr>
        <w:t xml:space="preserve">, M. (1974),  </w:t>
      </w:r>
      <w:r>
        <w:rPr>
          <w:rStyle w:val="Style12pt"/>
          <w:i/>
          <w:iCs/>
        </w:rPr>
        <w:t xml:space="preserve">The International Gold Standard, 1870-1914: Money and Empire </w:t>
      </w:r>
      <w:r>
        <w:rPr>
          <w:rStyle w:val="Style12pt"/>
          <w:iCs/>
        </w:rPr>
        <w:t xml:space="preserve">(Oxford: </w:t>
      </w:r>
      <w:r>
        <w:rPr>
          <w:rStyle w:val="Style12pt"/>
        </w:rPr>
        <w:t>Oxford University Press).</w:t>
      </w:r>
    </w:p>
    <w:p w:rsidR="00A62649" w:rsidRDefault="00A62649" w:rsidP="00A62649">
      <w:pPr>
        <w:spacing w:line="480" w:lineRule="auto"/>
        <w:ind w:left="720" w:hanging="720"/>
      </w:pPr>
      <w:r>
        <w:t xml:space="preserve">Devlin, R. (1989), </w:t>
      </w:r>
      <w:r>
        <w:rPr>
          <w:i/>
        </w:rPr>
        <w:t>Debt and Crisis in Latin America: The Supply Side of the Story</w:t>
      </w:r>
      <w:r>
        <w:t xml:space="preserve"> (Princeton: Princeton University Press).</w:t>
      </w:r>
    </w:p>
    <w:p w:rsidR="00A62649" w:rsidRDefault="00A62649" w:rsidP="00A62649">
      <w:pPr>
        <w:spacing w:line="480" w:lineRule="auto"/>
        <w:ind w:left="720" w:hanging="720"/>
      </w:pPr>
      <w:proofErr w:type="spellStart"/>
      <w:r>
        <w:t>Drezner</w:t>
      </w:r>
      <w:proofErr w:type="spellEnd"/>
      <w:r>
        <w:t xml:space="preserve">, D.W. (1999), </w:t>
      </w:r>
      <w:r>
        <w:rPr>
          <w:i/>
        </w:rPr>
        <w:t xml:space="preserve">The Sanctions Paradox: Economic Statecraft and International Relations </w:t>
      </w:r>
      <w:r>
        <w:t>(Cambridge: Cambridge University Press).</w:t>
      </w:r>
    </w:p>
    <w:p w:rsidR="00A62649" w:rsidRDefault="00A62649" w:rsidP="00A62649">
      <w:pPr>
        <w:spacing w:line="480" w:lineRule="auto"/>
        <w:ind w:left="720" w:hanging="720"/>
      </w:pPr>
      <w:proofErr w:type="spellStart"/>
      <w:r>
        <w:t>Drezner</w:t>
      </w:r>
      <w:proofErr w:type="spellEnd"/>
      <w:r>
        <w:t xml:space="preserve">, D.W. (2003), ‘The Hidden Hand of Economic Coercion’, </w:t>
      </w:r>
      <w:r>
        <w:rPr>
          <w:i/>
        </w:rPr>
        <w:t>International Organization</w:t>
      </w:r>
      <w:r>
        <w:t>, 57, pp. 643-659</w:t>
      </w:r>
    </w:p>
    <w:p w:rsidR="00A62649" w:rsidRDefault="00A62649" w:rsidP="00A62649">
      <w:pPr>
        <w:spacing w:line="480" w:lineRule="auto"/>
        <w:ind w:left="720" w:hanging="720"/>
        <w:rPr>
          <w:rFonts w:eastAsiaTheme="minorHAnsi"/>
        </w:rPr>
      </w:pPr>
      <w:proofErr w:type="spellStart"/>
      <w:r>
        <w:t>Drezner</w:t>
      </w:r>
      <w:proofErr w:type="spellEnd"/>
      <w:r>
        <w:t xml:space="preserve">, D. W. (2008), ‘Sovereign Wealth Funds and the (In)security of Global Finance’. </w:t>
      </w:r>
      <w:r>
        <w:rPr>
          <w:i/>
        </w:rPr>
        <w:t>Journal of International Affairs</w:t>
      </w:r>
      <w:r>
        <w:t>, 62 (1) pp. 115-130.</w:t>
      </w:r>
    </w:p>
    <w:p w:rsidR="00A62649" w:rsidRDefault="00A62649" w:rsidP="00A62649">
      <w:pPr>
        <w:spacing w:line="480" w:lineRule="auto"/>
        <w:ind w:left="720" w:hanging="720"/>
        <w:rPr>
          <w:bCs/>
        </w:rPr>
      </w:pPr>
      <w:proofErr w:type="spellStart"/>
      <w:r>
        <w:rPr>
          <w:bCs/>
        </w:rPr>
        <w:t>Drezner</w:t>
      </w:r>
      <w:proofErr w:type="spellEnd"/>
      <w:r>
        <w:rPr>
          <w:bCs/>
        </w:rPr>
        <w:t xml:space="preserve">, D. W. (2009), ‘Bad Debts: Assessing China’s Influence in Great Power Politics’, </w:t>
      </w:r>
      <w:r>
        <w:rPr>
          <w:bCs/>
          <w:i/>
        </w:rPr>
        <w:t>International Security</w:t>
      </w:r>
      <w:r>
        <w:rPr>
          <w:bCs/>
        </w:rPr>
        <w:t>. 34 (2), 7-45.</w:t>
      </w:r>
    </w:p>
    <w:p w:rsidR="00A62649" w:rsidRDefault="00A62649" w:rsidP="00A62649">
      <w:pPr>
        <w:spacing w:line="480" w:lineRule="auto"/>
        <w:ind w:left="720" w:hanging="720"/>
        <w:rPr>
          <w:bCs/>
        </w:rPr>
      </w:pPr>
      <w:r>
        <w:rPr>
          <w:bCs/>
        </w:rPr>
        <w:lastRenderedPageBreak/>
        <w:t xml:space="preserve">Drury, A. C. (1998), ‘Revisiting Economic Sanctions Reconsidered’, </w:t>
      </w:r>
      <w:r>
        <w:rPr>
          <w:bCs/>
          <w:i/>
        </w:rPr>
        <w:t>Journal of Peace Research</w:t>
      </w:r>
      <w:r>
        <w:rPr>
          <w:bCs/>
        </w:rPr>
        <w:t>, 35 (4), July, pp. 497-509.</w:t>
      </w:r>
    </w:p>
    <w:p w:rsidR="00A62649" w:rsidRPr="00AE37A4" w:rsidRDefault="00A62649" w:rsidP="00A62649">
      <w:pPr>
        <w:spacing w:line="480" w:lineRule="auto"/>
        <w:ind w:left="720" w:hanging="720"/>
        <w:rPr>
          <w:bCs/>
        </w:rPr>
      </w:pPr>
      <w:proofErr w:type="spellStart"/>
      <w:r>
        <w:rPr>
          <w:bCs/>
        </w:rPr>
        <w:t>Dullien</w:t>
      </w:r>
      <w:proofErr w:type="spellEnd"/>
      <w:r>
        <w:rPr>
          <w:bCs/>
        </w:rPr>
        <w:t xml:space="preserve">, S, Fritz, B. and </w:t>
      </w:r>
      <w:proofErr w:type="spellStart"/>
      <w:r>
        <w:rPr>
          <w:bCs/>
        </w:rPr>
        <w:t>Muehlich</w:t>
      </w:r>
      <w:proofErr w:type="spellEnd"/>
      <w:r>
        <w:rPr>
          <w:bCs/>
        </w:rPr>
        <w:t xml:space="preserve">, L. (2013) ‘Regional Monetary Cooperation: Lessons from the Euro Crisis for Developing Areas?’, </w:t>
      </w:r>
      <w:r>
        <w:rPr>
          <w:bCs/>
          <w:i/>
        </w:rPr>
        <w:t xml:space="preserve">World Economic Review </w:t>
      </w:r>
      <w:r>
        <w:rPr>
          <w:bCs/>
        </w:rPr>
        <w:t>2, pp. 1-23.</w:t>
      </w:r>
    </w:p>
    <w:p w:rsidR="00A62649" w:rsidRDefault="00A62649" w:rsidP="00A62649">
      <w:pPr>
        <w:spacing w:line="480" w:lineRule="auto"/>
        <w:ind w:left="720" w:hanging="720"/>
        <w:rPr>
          <w:bCs/>
        </w:rPr>
      </w:pPr>
      <w:proofErr w:type="spellStart"/>
      <w:r>
        <w:rPr>
          <w:bCs/>
        </w:rPr>
        <w:t>Eichengreen</w:t>
      </w:r>
      <w:proofErr w:type="spellEnd"/>
      <w:r>
        <w:rPr>
          <w:bCs/>
        </w:rPr>
        <w:t xml:space="preserve">, B. (2011), </w:t>
      </w:r>
      <w:r>
        <w:rPr>
          <w:bCs/>
          <w:i/>
        </w:rPr>
        <w:t xml:space="preserve">Exorbitant Privilege: The Rise and Fall of the Dollar and the Future of the International Monetary System </w:t>
      </w:r>
      <w:r>
        <w:rPr>
          <w:bCs/>
        </w:rPr>
        <w:t>(New York: Oxford University Press).</w:t>
      </w:r>
    </w:p>
    <w:p w:rsidR="00A62649" w:rsidRDefault="00A62649" w:rsidP="00A62649">
      <w:pPr>
        <w:spacing w:line="480" w:lineRule="auto"/>
        <w:ind w:left="720" w:hanging="720"/>
      </w:pPr>
      <w:proofErr w:type="spellStart"/>
      <w:r>
        <w:t>Eichengreen</w:t>
      </w:r>
      <w:proofErr w:type="spellEnd"/>
      <w:r>
        <w:t xml:space="preserve">, B. and </w:t>
      </w:r>
      <w:proofErr w:type="spellStart"/>
      <w:r>
        <w:t>Hausmann</w:t>
      </w:r>
      <w:proofErr w:type="spellEnd"/>
      <w:r>
        <w:t>, R (1999), ‘Exchange Rates and Financial Fragility’, NBER Working Paper #7418 (Cambridge, MA: NBER), November.</w:t>
      </w:r>
    </w:p>
    <w:p w:rsidR="00A62649" w:rsidRDefault="00A62649" w:rsidP="00A62649">
      <w:pPr>
        <w:spacing w:line="480" w:lineRule="auto"/>
        <w:ind w:left="720" w:hanging="720"/>
      </w:pPr>
      <w:proofErr w:type="spellStart"/>
      <w:r>
        <w:t>Frayssinet</w:t>
      </w:r>
      <w:proofErr w:type="spellEnd"/>
      <w:r>
        <w:t xml:space="preserve">, F. (2013), ‘Africa in Debt to Brazil: Forgiveness Isn’t Always Free’, </w:t>
      </w:r>
      <w:proofErr w:type="spellStart"/>
      <w:r>
        <w:t>Interpress</w:t>
      </w:r>
      <w:proofErr w:type="spellEnd"/>
      <w:r>
        <w:t xml:space="preserve"> Service (IPS), September 10. &lt;www.ipsnews.net&gt;</w:t>
      </w:r>
    </w:p>
    <w:p w:rsidR="00A62649" w:rsidRDefault="00A62649" w:rsidP="00A62649">
      <w:pPr>
        <w:spacing w:line="480" w:lineRule="auto"/>
        <w:ind w:left="720" w:hanging="720"/>
      </w:pPr>
      <w:proofErr w:type="spellStart"/>
      <w:r>
        <w:t>Frieden</w:t>
      </w:r>
      <w:proofErr w:type="spellEnd"/>
      <w:r>
        <w:t xml:space="preserve">, J. (1991), </w:t>
      </w:r>
      <w:r>
        <w:rPr>
          <w:i/>
        </w:rPr>
        <w:t>Debt, Development, and Democracy: Modern Political Economy and Latin America, 1965-1985</w:t>
      </w:r>
      <w:r>
        <w:t xml:space="preserve"> (Princeton: Princeton University Press).</w:t>
      </w:r>
    </w:p>
    <w:p w:rsidR="00A62649" w:rsidRDefault="00A62649" w:rsidP="00A62649">
      <w:pPr>
        <w:spacing w:line="480" w:lineRule="auto"/>
        <w:ind w:left="720" w:hanging="720"/>
      </w:pPr>
      <w:proofErr w:type="spellStart"/>
      <w:r>
        <w:t>Frieden</w:t>
      </w:r>
      <w:proofErr w:type="spellEnd"/>
      <w:r>
        <w:t xml:space="preserve">, J. (2007), </w:t>
      </w:r>
      <w:r>
        <w:rPr>
          <w:i/>
        </w:rPr>
        <w:t xml:space="preserve">Global Capitalism: Its Fall and Rise in the Twentieth Century </w:t>
      </w:r>
      <w:r>
        <w:t>(New York: W.W. Norton).</w:t>
      </w:r>
    </w:p>
    <w:p w:rsidR="00A62649" w:rsidRDefault="00A62649" w:rsidP="00A62649">
      <w:pPr>
        <w:spacing w:line="480" w:lineRule="auto"/>
        <w:ind w:left="720" w:hanging="720"/>
      </w:pPr>
      <w:r>
        <w:t xml:space="preserve">Gallagher, K.P., Irwin, A. and </w:t>
      </w:r>
      <w:proofErr w:type="spellStart"/>
      <w:r>
        <w:t>Koleski</w:t>
      </w:r>
      <w:proofErr w:type="spellEnd"/>
      <w:r>
        <w:t xml:space="preserve">, K. (2012), ‘The New Banks in Town: Chinese Finance in Latin America’, </w:t>
      </w:r>
      <w:r>
        <w:rPr>
          <w:i/>
        </w:rPr>
        <w:t xml:space="preserve">Inter-American Dialogue Report, </w:t>
      </w:r>
      <w:r>
        <w:t>February.</w:t>
      </w:r>
    </w:p>
    <w:p w:rsidR="00A62649" w:rsidRDefault="00A62649" w:rsidP="00A62649">
      <w:pPr>
        <w:spacing w:line="480" w:lineRule="auto"/>
        <w:ind w:left="720" w:hanging="720"/>
      </w:pPr>
      <w:r>
        <w:t xml:space="preserve">Haggard, S. (2000), </w:t>
      </w:r>
      <w:r>
        <w:rPr>
          <w:i/>
        </w:rPr>
        <w:t>The Political Economy of the Asian Financial Crisis</w:t>
      </w:r>
      <w:r>
        <w:t xml:space="preserve"> (Washington, D.C.: Institute for International Economics).</w:t>
      </w:r>
    </w:p>
    <w:p w:rsidR="00A62649" w:rsidRDefault="00A62649" w:rsidP="00A62649">
      <w:pPr>
        <w:spacing w:line="480" w:lineRule="auto"/>
        <w:ind w:left="720" w:hanging="720"/>
        <w:jc w:val="both"/>
      </w:pPr>
      <w:r>
        <w:t xml:space="preserve">Hall, R. B. (2003), ‘The Discursive Demolition of the Asian Development Model’, </w:t>
      </w:r>
      <w:r>
        <w:rPr>
          <w:i/>
        </w:rPr>
        <w:t>International Studies Quarterly.</w:t>
      </w:r>
      <w:r>
        <w:t xml:space="preserve"> 47, pp. 71-99.</w:t>
      </w:r>
    </w:p>
    <w:p w:rsidR="00A62649" w:rsidRDefault="00A62649" w:rsidP="00A62649">
      <w:pPr>
        <w:spacing w:line="480" w:lineRule="auto"/>
        <w:ind w:left="720" w:hanging="720"/>
        <w:jc w:val="both"/>
      </w:pPr>
      <w:r>
        <w:t>Hamilton-Hart, N. (2012), “Monetary Mercantilism in Southeast Asia,” Unpublished paper.</w:t>
      </w:r>
    </w:p>
    <w:p w:rsidR="00A62649" w:rsidRDefault="00A62649" w:rsidP="00A62649">
      <w:pPr>
        <w:spacing w:line="480" w:lineRule="auto"/>
        <w:ind w:left="720" w:hanging="720"/>
        <w:jc w:val="both"/>
      </w:pPr>
      <w:proofErr w:type="spellStart"/>
      <w:r>
        <w:t>Hansmann</w:t>
      </w:r>
      <w:proofErr w:type="spellEnd"/>
      <w:r>
        <w:t xml:space="preserve">, H. and </w:t>
      </w:r>
      <w:proofErr w:type="spellStart"/>
      <w:r>
        <w:t>Kraakman</w:t>
      </w:r>
      <w:proofErr w:type="spellEnd"/>
      <w:r>
        <w:t xml:space="preserve">, R. (2000), ‘The End of History for Corporate Law’, Working Paper CLB-99-013, New York University: Center for Law and Business.  </w:t>
      </w:r>
    </w:p>
    <w:p w:rsidR="00A62649" w:rsidRPr="001401CA" w:rsidRDefault="00A62649" w:rsidP="00A62649">
      <w:pPr>
        <w:spacing w:line="480" w:lineRule="auto"/>
        <w:ind w:left="720" w:hanging="720"/>
      </w:pPr>
      <w:r>
        <w:lastRenderedPageBreak/>
        <w:t>Henning, C.R</w:t>
      </w:r>
      <w:r w:rsidRPr="00244052">
        <w:t xml:space="preserve">. </w:t>
      </w:r>
      <w:r>
        <w:t>(</w:t>
      </w:r>
      <w:r w:rsidRPr="00244052">
        <w:t>2006</w:t>
      </w:r>
      <w:r>
        <w:t>), ‘</w:t>
      </w:r>
      <w:r w:rsidRPr="00244052">
        <w:t>The Exchange-Rate Wea</w:t>
      </w:r>
      <w:r>
        <w:t>pon and Macroeconomic Conflict’,</w:t>
      </w:r>
      <w:r w:rsidRPr="00244052">
        <w:t xml:space="preserve"> in</w:t>
      </w:r>
      <w:r>
        <w:t xml:space="preserve"> D.M. Andrews (ed.) </w:t>
      </w:r>
      <w:r>
        <w:rPr>
          <w:i/>
        </w:rPr>
        <w:t xml:space="preserve">International Monetary Power </w:t>
      </w:r>
      <w:r>
        <w:t>(Ithaca, NY: Cornell University Press).</w:t>
      </w:r>
    </w:p>
    <w:p w:rsidR="00A62649" w:rsidRDefault="00A62649" w:rsidP="00A62649">
      <w:pPr>
        <w:spacing w:line="480" w:lineRule="auto"/>
        <w:ind w:left="720" w:hanging="720"/>
      </w:pPr>
      <w:r>
        <w:t>Henning, C. R.</w:t>
      </w:r>
      <w:r w:rsidRPr="004B3885">
        <w:t xml:space="preserve"> and </w:t>
      </w:r>
      <w:proofErr w:type="spellStart"/>
      <w:r w:rsidRPr="004B3885">
        <w:t>Katada</w:t>
      </w:r>
      <w:proofErr w:type="spellEnd"/>
      <w:r>
        <w:t>, S. N. (F</w:t>
      </w:r>
      <w:r w:rsidRPr="004B3885">
        <w:t>orthcoming</w:t>
      </w:r>
      <w:r>
        <w:t>), ‘</w:t>
      </w:r>
      <w:r w:rsidRPr="004B3885">
        <w:t>Cooperation without Institutions: The Case of Ea</w:t>
      </w:r>
      <w:r>
        <w:t xml:space="preserve">st Asian Currency Arrangements,’ In S. </w:t>
      </w:r>
      <w:proofErr w:type="spellStart"/>
      <w:r>
        <w:t>Pekkanen</w:t>
      </w:r>
      <w:proofErr w:type="spellEnd"/>
      <w:r>
        <w:t xml:space="preserve"> (ed.) </w:t>
      </w:r>
      <w:r w:rsidRPr="00551086">
        <w:rPr>
          <w:i/>
        </w:rPr>
        <w:t>Asian Designs: Interests, Identities and States in External Institutions</w:t>
      </w:r>
      <w:r w:rsidRPr="004B3885">
        <w:t>.</w:t>
      </w:r>
    </w:p>
    <w:p w:rsidR="00A62649" w:rsidRDefault="00A62649" w:rsidP="00A62649">
      <w:pPr>
        <w:spacing w:line="480" w:lineRule="auto"/>
        <w:ind w:left="720" w:hanging="720"/>
      </w:pPr>
      <w:r>
        <w:t xml:space="preserve">Hirschman, A. (1945), </w:t>
      </w:r>
      <w:r>
        <w:rPr>
          <w:i/>
        </w:rPr>
        <w:t>National Power and the Structure of Foreign Trade</w:t>
      </w:r>
      <w:r>
        <w:t xml:space="preserve"> (Berkeley: University of California Press).</w:t>
      </w:r>
    </w:p>
    <w:p w:rsidR="00A62649" w:rsidRDefault="00A62649" w:rsidP="00A62649">
      <w:pPr>
        <w:spacing w:line="480" w:lineRule="auto"/>
        <w:ind w:left="720" w:hanging="720"/>
      </w:pPr>
      <w:proofErr w:type="spellStart"/>
      <w:r>
        <w:t>Hufbauer</w:t>
      </w:r>
      <w:proofErr w:type="spellEnd"/>
      <w:r>
        <w:t xml:space="preserve">, G.C., Schott, J.J., Elliott, K.A. (1990), </w:t>
      </w:r>
      <w:r>
        <w:rPr>
          <w:i/>
        </w:rPr>
        <w:t>Economic Sanctions Reconsidered: History and Current Policy</w:t>
      </w:r>
      <w:r>
        <w:t xml:space="preserve"> (Washington D.C.: Peterson Institute for International Economics).</w:t>
      </w:r>
    </w:p>
    <w:p w:rsidR="00A62649" w:rsidRDefault="00A62649" w:rsidP="00A62649">
      <w:pPr>
        <w:spacing w:line="480" w:lineRule="auto"/>
        <w:ind w:left="720" w:hanging="720"/>
      </w:pPr>
      <w:proofErr w:type="spellStart"/>
      <w:r>
        <w:t>Hufbauer</w:t>
      </w:r>
      <w:proofErr w:type="spellEnd"/>
      <w:r>
        <w:t xml:space="preserve">, G.C., Schott, J.J., Elliott, K.A. and </w:t>
      </w:r>
      <w:proofErr w:type="spellStart"/>
      <w:r>
        <w:t>Oegg</w:t>
      </w:r>
      <w:proofErr w:type="spellEnd"/>
      <w:r>
        <w:t xml:space="preserve">, B. (2009), </w:t>
      </w:r>
      <w:r>
        <w:rPr>
          <w:i/>
        </w:rPr>
        <w:t>Economic Sanctions Reconsidered</w:t>
      </w:r>
      <w:r>
        <w:t xml:space="preserve"> (3</w:t>
      </w:r>
      <w:r>
        <w:rPr>
          <w:vertAlign w:val="superscript"/>
        </w:rPr>
        <w:t>rd</w:t>
      </w:r>
      <w:r>
        <w:t xml:space="preserve"> edition) (Washington DC: Petersons Institute for International Economics).</w:t>
      </w:r>
    </w:p>
    <w:p w:rsidR="00A62649" w:rsidRDefault="00A62649" w:rsidP="00A62649">
      <w:pPr>
        <w:spacing w:line="480" w:lineRule="auto"/>
        <w:ind w:left="720" w:hanging="720"/>
      </w:pPr>
      <w:proofErr w:type="spellStart"/>
      <w:r>
        <w:rPr>
          <w:rStyle w:val="textnew"/>
        </w:rPr>
        <w:t>Ikenberry</w:t>
      </w:r>
      <w:proofErr w:type="spellEnd"/>
      <w:r>
        <w:rPr>
          <w:rStyle w:val="textnew"/>
        </w:rPr>
        <w:t xml:space="preserve">, G.J. (2012), </w:t>
      </w:r>
      <w:r>
        <w:rPr>
          <w:rStyle w:val="textnew"/>
          <w:i/>
        </w:rPr>
        <w:t xml:space="preserve">Liberal Leviathan: The Origins, Crisis, and Transformation of the American World Order </w:t>
      </w:r>
      <w:r>
        <w:rPr>
          <w:rStyle w:val="textnew"/>
        </w:rPr>
        <w:t>(Princeton, NJ: Princeton University Press).</w:t>
      </w:r>
    </w:p>
    <w:p w:rsidR="00A62649" w:rsidRDefault="00A62649" w:rsidP="00A62649">
      <w:pPr>
        <w:spacing w:line="480" w:lineRule="auto"/>
        <w:ind w:left="720" w:hanging="720"/>
        <w:rPr>
          <w:rStyle w:val="textnew"/>
        </w:rPr>
      </w:pPr>
      <w:proofErr w:type="spellStart"/>
      <w:r>
        <w:t>Ikenberry</w:t>
      </w:r>
      <w:proofErr w:type="spellEnd"/>
      <w:r>
        <w:t xml:space="preserve">, G.J., </w:t>
      </w:r>
      <w:proofErr w:type="spellStart"/>
      <w:r>
        <w:t>Mastanduno</w:t>
      </w:r>
      <w:proofErr w:type="spellEnd"/>
      <w:r>
        <w:t xml:space="preserve">, M. and </w:t>
      </w:r>
      <w:proofErr w:type="spellStart"/>
      <w:r>
        <w:t>Wohlforth</w:t>
      </w:r>
      <w:proofErr w:type="spellEnd"/>
      <w:r>
        <w:t>, W.C. (2009), ‘</w:t>
      </w:r>
      <w:proofErr w:type="spellStart"/>
      <w:r>
        <w:t>Unipolarity</w:t>
      </w:r>
      <w:proofErr w:type="spellEnd"/>
      <w:r>
        <w:t xml:space="preserve">, State Behavior, and Systemic Consequences’, </w:t>
      </w:r>
      <w:r w:rsidRPr="00FB785B">
        <w:rPr>
          <w:i/>
        </w:rPr>
        <w:t>World Politics</w:t>
      </w:r>
      <w:r>
        <w:t xml:space="preserve"> 61, January, pp. 1–27.</w:t>
      </w:r>
    </w:p>
    <w:p w:rsidR="00A62649" w:rsidRDefault="00A62649" w:rsidP="00A62649">
      <w:pPr>
        <w:spacing w:line="480" w:lineRule="auto"/>
        <w:ind w:left="720" w:hanging="720"/>
        <w:jc w:val="both"/>
      </w:pPr>
      <w:r>
        <w:t xml:space="preserve">Jervis, R. (1978), ‘Cooperation under the Security Dilemma’, </w:t>
      </w:r>
      <w:r>
        <w:rPr>
          <w:i/>
        </w:rPr>
        <w:t>World Politics</w:t>
      </w:r>
      <w:r>
        <w:t>, 30 (2), January, pp. 167-214.</w:t>
      </w:r>
    </w:p>
    <w:p w:rsidR="00A62649" w:rsidRDefault="00A62649" w:rsidP="00A62649">
      <w:pPr>
        <w:spacing w:line="480" w:lineRule="auto"/>
        <w:ind w:left="720" w:hanging="720"/>
        <w:jc w:val="both"/>
      </w:pPr>
      <w:proofErr w:type="spellStart"/>
      <w:r>
        <w:t>Kirshner</w:t>
      </w:r>
      <w:proofErr w:type="spellEnd"/>
      <w:r>
        <w:t xml:space="preserve">, J. (1995), </w:t>
      </w:r>
      <w:r>
        <w:rPr>
          <w:i/>
        </w:rPr>
        <w:t>Currency and Coercion</w:t>
      </w:r>
      <w:r>
        <w:t xml:space="preserve"> (Princeton: Princeton University Press).</w:t>
      </w:r>
    </w:p>
    <w:p w:rsidR="00A62649" w:rsidRDefault="00A62649" w:rsidP="00A62649">
      <w:pPr>
        <w:spacing w:line="480" w:lineRule="auto"/>
        <w:ind w:left="720" w:hanging="720"/>
        <w:jc w:val="both"/>
      </w:pPr>
      <w:proofErr w:type="spellStart"/>
      <w:r>
        <w:t>Kirshner</w:t>
      </w:r>
      <w:proofErr w:type="spellEnd"/>
      <w:r>
        <w:t xml:space="preserve">, J. (ed.) (2003), </w:t>
      </w:r>
      <w:r>
        <w:rPr>
          <w:i/>
        </w:rPr>
        <w:t>Monetary Orders: Ambiguous Economics, Ubiquitous Politics</w:t>
      </w:r>
      <w:r>
        <w:t xml:space="preserve"> (Ithaca: Cornell University Press).</w:t>
      </w:r>
    </w:p>
    <w:p w:rsidR="00A62649" w:rsidRDefault="00A62649" w:rsidP="00A62649">
      <w:pPr>
        <w:spacing w:line="480" w:lineRule="auto"/>
        <w:ind w:left="720" w:hanging="720"/>
      </w:pPr>
      <w:r>
        <w:t xml:space="preserve">Kitchen, N. (2010), ‘Systemic pressures and domestic ideas: a neoclassical realist model of grand strategy formation’, </w:t>
      </w:r>
      <w:r>
        <w:rPr>
          <w:i/>
        </w:rPr>
        <w:t>Review of international studies</w:t>
      </w:r>
      <w:r>
        <w:t>, 36 (1). pp. 117-143.</w:t>
      </w:r>
    </w:p>
    <w:p w:rsidR="00A62649" w:rsidRDefault="00A62649" w:rsidP="00A62649">
      <w:pPr>
        <w:spacing w:line="480" w:lineRule="auto"/>
        <w:ind w:left="720" w:hanging="720"/>
      </w:pPr>
      <w:r>
        <w:lastRenderedPageBreak/>
        <w:t xml:space="preserve">La </w:t>
      </w:r>
      <w:proofErr w:type="spellStart"/>
      <w:r>
        <w:t>Porta</w:t>
      </w:r>
      <w:proofErr w:type="spellEnd"/>
      <w:r>
        <w:t>, R., Lopez-de-</w:t>
      </w:r>
      <w:proofErr w:type="spellStart"/>
      <w:r>
        <w:t>Silanes</w:t>
      </w:r>
      <w:proofErr w:type="spellEnd"/>
      <w:r>
        <w:t xml:space="preserve">, F., </w:t>
      </w:r>
      <w:proofErr w:type="spellStart"/>
      <w:r>
        <w:t>Shleifer</w:t>
      </w:r>
      <w:proofErr w:type="spellEnd"/>
      <w:r>
        <w:t xml:space="preserve">, A. and </w:t>
      </w:r>
      <w:proofErr w:type="spellStart"/>
      <w:r>
        <w:t>Vishny</w:t>
      </w:r>
      <w:proofErr w:type="spellEnd"/>
      <w:r>
        <w:t xml:space="preserve">, R. (1997),  ‘Legal Determinants of External Finance’, </w:t>
      </w:r>
      <w:r>
        <w:rPr>
          <w:i/>
          <w:iCs/>
        </w:rPr>
        <w:t xml:space="preserve">Journal of Finance </w:t>
      </w:r>
      <w:r>
        <w:t>52 (3), July, pp. 1131-1150.</w:t>
      </w:r>
    </w:p>
    <w:p w:rsidR="00A62649" w:rsidRDefault="00A62649" w:rsidP="00A62649">
      <w:pPr>
        <w:spacing w:line="480" w:lineRule="auto"/>
        <w:ind w:left="720" w:hanging="720"/>
      </w:pPr>
      <w:proofErr w:type="spellStart"/>
      <w:r>
        <w:t>Labaqui</w:t>
      </w:r>
      <w:proofErr w:type="spellEnd"/>
      <w:r>
        <w:t>, I. (2012), ‘Who’s Afraid of Reversing Neoliberal Reforms? Financial Statecraft in Argentina and Venezuela’, Unpublished paper.</w:t>
      </w:r>
    </w:p>
    <w:p w:rsidR="00A62649" w:rsidRDefault="00A62649" w:rsidP="00A62649">
      <w:pPr>
        <w:spacing w:line="480" w:lineRule="auto"/>
        <w:ind w:left="720" w:hanging="720"/>
      </w:pPr>
      <w:r>
        <w:t xml:space="preserve">Leeds, B.A. (1999), ‘Domestic Political Institutions, Credible Commitments, and International Cooperation’,  </w:t>
      </w:r>
      <w:r>
        <w:rPr>
          <w:i/>
          <w:iCs/>
        </w:rPr>
        <w:t xml:space="preserve">American Journal of Political Science, </w:t>
      </w:r>
      <w:r>
        <w:t xml:space="preserve">43 (4) October, pp. 979-1002. </w:t>
      </w:r>
    </w:p>
    <w:p w:rsidR="00A62649" w:rsidRDefault="00A62649" w:rsidP="00A62649">
      <w:pPr>
        <w:spacing w:line="480" w:lineRule="auto"/>
        <w:ind w:left="720" w:hanging="720"/>
      </w:pPr>
      <w:proofErr w:type="spellStart"/>
      <w:r>
        <w:t>Lukauskas</w:t>
      </w:r>
      <w:proofErr w:type="spellEnd"/>
      <w:r>
        <w:t xml:space="preserve">, A. (2002), ‘Financial Restriction and the Development State in East Asia: Toward a More Complex Political Economy’, </w:t>
      </w:r>
      <w:r w:rsidRPr="00326324">
        <w:rPr>
          <w:i/>
        </w:rPr>
        <w:t>Comparative Political Studies</w:t>
      </w:r>
      <w:r>
        <w:t xml:space="preserve"> 35 (4), pp. 379-412.</w:t>
      </w:r>
    </w:p>
    <w:p w:rsidR="00A62649" w:rsidRDefault="00A62649" w:rsidP="00A62649">
      <w:pPr>
        <w:spacing w:line="480" w:lineRule="auto"/>
        <w:ind w:left="720" w:hanging="720"/>
      </w:pPr>
      <w:proofErr w:type="spellStart"/>
      <w:r>
        <w:t>MacIntyre</w:t>
      </w:r>
      <w:proofErr w:type="spellEnd"/>
      <w:r>
        <w:t xml:space="preserve">, A. (2001), ‘Institutions and Investors: The Politics of the Economic Crisis in Southeast Asia’, </w:t>
      </w:r>
      <w:r>
        <w:rPr>
          <w:i/>
        </w:rPr>
        <w:t>International Organization</w:t>
      </w:r>
      <w:r>
        <w:t>, 55 (1), pp. 81-122.</w:t>
      </w:r>
    </w:p>
    <w:p w:rsidR="00A62649" w:rsidRDefault="00A62649" w:rsidP="00A62649">
      <w:pPr>
        <w:spacing w:line="480" w:lineRule="auto"/>
        <w:ind w:left="720" w:hanging="720"/>
      </w:pPr>
      <w:r>
        <w:t xml:space="preserve">Mansfield, E.D., Milner, H.V. and </w:t>
      </w:r>
      <w:proofErr w:type="spellStart"/>
      <w:r>
        <w:t>Rosendorff</w:t>
      </w:r>
      <w:proofErr w:type="spellEnd"/>
      <w:r>
        <w:t xml:space="preserve">, B.P. (2002), ‘Why Democracies Cooperate More: Electoral Control and International Trade Agreements’, </w:t>
      </w:r>
      <w:r>
        <w:rPr>
          <w:i/>
        </w:rPr>
        <w:t>International Organization</w:t>
      </w:r>
      <w:r>
        <w:rPr>
          <w:iCs/>
        </w:rPr>
        <w:t xml:space="preserve">, </w:t>
      </w:r>
      <w:r>
        <w:t>56 (3), pp. 477-513.</w:t>
      </w:r>
    </w:p>
    <w:p w:rsidR="00A62649" w:rsidRDefault="00A62649" w:rsidP="00A62649">
      <w:pPr>
        <w:spacing w:line="480" w:lineRule="auto"/>
        <w:ind w:left="720" w:hanging="720"/>
      </w:pPr>
      <w:r>
        <w:t xml:space="preserve">Mansfield, E. and Solingen, E. (2010), ‘Regionalism’, </w:t>
      </w:r>
      <w:r>
        <w:rPr>
          <w:i/>
        </w:rPr>
        <w:t>Annual Review of Political Science</w:t>
      </w:r>
      <w:r>
        <w:t>, 13, pp. 145–63.</w:t>
      </w:r>
    </w:p>
    <w:p w:rsidR="00A62649" w:rsidRDefault="00A62649" w:rsidP="00A62649">
      <w:pPr>
        <w:spacing w:line="480" w:lineRule="auto"/>
        <w:ind w:left="720" w:hanging="720"/>
      </w:pPr>
      <w:proofErr w:type="spellStart"/>
      <w:r>
        <w:t>Mastanduno</w:t>
      </w:r>
      <w:proofErr w:type="spellEnd"/>
      <w:r>
        <w:t xml:space="preserve">, M. (1988), ‘Economics and Security in Statecraft and Scholarship’, </w:t>
      </w:r>
      <w:r>
        <w:rPr>
          <w:i/>
        </w:rPr>
        <w:t>International Organization</w:t>
      </w:r>
      <w:r>
        <w:t>, 52 (4).</w:t>
      </w:r>
    </w:p>
    <w:p w:rsidR="00A62649" w:rsidRDefault="00A62649" w:rsidP="00A62649">
      <w:pPr>
        <w:spacing w:line="480" w:lineRule="auto"/>
        <w:ind w:left="720" w:hanging="720"/>
      </w:pPr>
      <w:proofErr w:type="spellStart"/>
      <w:r>
        <w:t>Mearsheimer</w:t>
      </w:r>
      <w:proofErr w:type="spellEnd"/>
      <w:r>
        <w:t xml:space="preserve">, J. (2001),  </w:t>
      </w:r>
      <w:r>
        <w:rPr>
          <w:i/>
          <w:iCs/>
        </w:rPr>
        <w:t xml:space="preserve">The Tragedy of Great Power Politics </w:t>
      </w:r>
      <w:r>
        <w:rPr>
          <w:iCs/>
        </w:rPr>
        <w:t xml:space="preserve">(New York: </w:t>
      </w:r>
      <w:r>
        <w:t>W.W. Norton).</w:t>
      </w:r>
    </w:p>
    <w:p w:rsidR="00A62649" w:rsidRDefault="00A62649" w:rsidP="00A62649">
      <w:pPr>
        <w:spacing w:line="480" w:lineRule="auto"/>
        <w:ind w:left="720" w:hanging="720"/>
      </w:pPr>
      <w:r>
        <w:t xml:space="preserve">Nye, J. (2004), </w:t>
      </w:r>
      <w:r w:rsidRPr="008054B5">
        <w:rPr>
          <w:i/>
        </w:rPr>
        <w:t>Soft Power: The Means to Success in World Politics</w:t>
      </w:r>
      <w:r>
        <w:t xml:space="preserve"> (New York: Public Affairs Press).</w:t>
      </w:r>
    </w:p>
    <w:p w:rsidR="00A62649" w:rsidRDefault="00A62649" w:rsidP="00A62649">
      <w:pPr>
        <w:spacing w:line="480" w:lineRule="auto"/>
        <w:ind w:left="720" w:hanging="720"/>
      </w:pPr>
      <w:r>
        <w:t xml:space="preserve">-------------. (1990), </w:t>
      </w:r>
      <w:r w:rsidRPr="008054B5">
        <w:rPr>
          <w:i/>
        </w:rPr>
        <w:t>Bound to Lead: The Changing Nature of American Power</w:t>
      </w:r>
      <w:r>
        <w:t xml:space="preserve"> (New York: Basic Books).</w:t>
      </w:r>
    </w:p>
    <w:p w:rsidR="00A62649" w:rsidRDefault="00A62649" w:rsidP="00A62649">
      <w:pPr>
        <w:spacing w:line="480" w:lineRule="auto"/>
        <w:ind w:left="720" w:hanging="720"/>
      </w:pPr>
      <w:r>
        <w:lastRenderedPageBreak/>
        <w:t xml:space="preserve">Oman, C. P. (ed.) (2004), </w:t>
      </w:r>
      <w:r>
        <w:rPr>
          <w:i/>
        </w:rPr>
        <w:t xml:space="preserve">Corporate Governance in Development: The Experiences of Brazil, Chile, India, and South Africa </w:t>
      </w:r>
      <w:r>
        <w:t>(Paris: OECD Development Centre).</w:t>
      </w:r>
    </w:p>
    <w:p w:rsidR="00A62649" w:rsidRDefault="00A62649" w:rsidP="00A62649">
      <w:pPr>
        <w:spacing w:line="480" w:lineRule="auto"/>
        <w:ind w:left="720" w:hanging="720"/>
      </w:pPr>
      <w:proofErr w:type="spellStart"/>
      <w:r>
        <w:t>Pape</w:t>
      </w:r>
      <w:proofErr w:type="spellEnd"/>
      <w:r>
        <w:t>, R. (1997), ‘Why Economic Sanctions do not Work</w:t>
      </w:r>
      <w:r>
        <w:rPr>
          <w:i/>
        </w:rPr>
        <w:t>’,  International Security</w:t>
      </w:r>
      <w:r>
        <w:t xml:space="preserve"> (22), pp. 90-136.</w:t>
      </w:r>
    </w:p>
    <w:p w:rsidR="00A62649" w:rsidRDefault="00A62649" w:rsidP="00A62649">
      <w:pPr>
        <w:spacing w:line="480" w:lineRule="auto"/>
      </w:pPr>
      <w:r>
        <w:t xml:space="preserve">Pastor, M. (1992), </w:t>
      </w:r>
      <w:r>
        <w:rPr>
          <w:i/>
        </w:rPr>
        <w:t>Inflation, Stabilization, and Debt</w:t>
      </w:r>
      <w:r>
        <w:t xml:space="preserve"> (Boulder, CO: Westview Press).</w:t>
      </w:r>
    </w:p>
    <w:p w:rsidR="00A62649" w:rsidRPr="001401CA" w:rsidRDefault="00A62649" w:rsidP="00A62649">
      <w:pPr>
        <w:spacing w:line="480" w:lineRule="auto"/>
        <w:ind w:left="720" w:hanging="720"/>
      </w:pPr>
      <w:proofErr w:type="spellStart"/>
      <w:r>
        <w:t>Pauly</w:t>
      </w:r>
      <w:proofErr w:type="spellEnd"/>
      <w:r>
        <w:t>, L.</w:t>
      </w:r>
      <w:r w:rsidRPr="00244052">
        <w:t xml:space="preserve">W. </w:t>
      </w:r>
      <w:r>
        <w:t>(2006), ‘</w:t>
      </w:r>
      <w:r w:rsidRPr="00244052">
        <w:t>Monetary</w:t>
      </w:r>
      <w:r>
        <w:t xml:space="preserve"> Statecraft in Follower States,’ in D.M. Andrews</w:t>
      </w:r>
      <w:r w:rsidRPr="00244052">
        <w:t xml:space="preserve"> </w:t>
      </w:r>
      <w:r>
        <w:t>(</w:t>
      </w:r>
      <w:r w:rsidRPr="00244052">
        <w:t>ed.</w:t>
      </w:r>
      <w:r>
        <w:t xml:space="preserve">) </w:t>
      </w:r>
      <w:r>
        <w:rPr>
          <w:i/>
        </w:rPr>
        <w:t xml:space="preserve">International Monetary Power </w:t>
      </w:r>
      <w:r>
        <w:t>(Ithaca, NY: Cornell University Press).</w:t>
      </w:r>
    </w:p>
    <w:p w:rsidR="00A62649" w:rsidRDefault="00A62649" w:rsidP="00A62649">
      <w:pPr>
        <w:spacing w:line="480" w:lineRule="auto"/>
        <w:ind w:left="720" w:hanging="720"/>
      </w:pPr>
      <w:proofErr w:type="spellStart"/>
      <w:r>
        <w:t>Perroni</w:t>
      </w:r>
      <w:proofErr w:type="spellEnd"/>
      <w:r>
        <w:t xml:space="preserve">, C. and </w:t>
      </w:r>
      <w:proofErr w:type="spellStart"/>
      <w:r>
        <w:t>Whalley</w:t>
      </w:r>
      <w:proofErr w:type="spellEnd"/>
      <w:r>
        <w:t xml:space="preserve">, J. (2000), ‘The New Regionalism: Trade Liberalization or Insurance?’, </w:t>
      </w:r>
      <w:r>
        <w:rPr>
          <w:i/>
        </w:rPr>
        <w:t>Canadian Journal of Economics</w:t>
      </w:r>
      <w:r>
        <w:t>, 33 (1), pp. 1–24.</w:t>
      </w:r>
    </w:p>
    <w:p w:rsidR="00A62649" w:rsidRDefault="00A62649" w:rsidP="00A62649">
      <w:pPr>
        <w:spacing w:line="480" w:lineRule="auto"/>
        <w:ind w:left="720" w:hanging="720"/>
        <w:jc w:val="both"/>
      </w:pPr>
      <w:r>
        <w:t xml:space="preserve">Polanyi, K. (1944), </w:t>
      </w:r>
      <w:r>
        <w:rPr>
          <w:i/>
        </w:rPr>
        <w:t>The Great Transformation: The Political and Economic Origins of Our Times</w:t>
      </w:r>
      <w:r>
        <w:t xml:space="preserve">  (Boston: Beacon Press).</w:t>
      </w:r>
    </w:p>
    <w:p w:rsidR="00A62649" w:rsidRDefault="00A62649" w:rsidP="00A62649">
      <w:pPr>
        <w:spacing w:line="480" w:lineRule="auto"/>
        <w:ind w:left="720" w:hanging="720"/>
      </w:pPr>
      <w:r>
        <w:t xml:space="preserve">Reinhart, C.M. and </w:t>
      </w:r>
      <w:proofErr w:type="spellStart"/>
      <w:r>
        <w:t>Rogoff</w:t>
      </w:r>
      <w:proofErr w:type="spellEnd"/>
      <w:r>
        <w:t xml:space="preserve">, K.S. (2011), </w:t>
      </w:r>
      <w:r>
        <w:rPr>
          <w:i/>
        </w:rPr>
        <w:t xml:space="preserve">This Time is Different: Eight Centuries of Financial Folly </w:t>
      </w:r>
      <w:r>
        <w:t>(Princeton, N.J.: Princeton University Press).</w:t>
      </w:r>
    </w:p>
    <w:p w:rsidR="00A62649" w:rsidRDefault="00A62649" w:rsidP="00A62649">
      <w:pPr>
        <w:spacing w:line="480" w:lineRule="auto"/>
        <w:ind w:left="720" w:hanging="720"/>
      </w:pPr>
      <w:r>
        <w:t xml:space="preserve">Rose, G. (1998), ‘Review: Neoclassical Realism and Theories of Foreign Policy’, </w:t>
      </w:r>
      <w:r>
        <w:rPr>
          <w:i/>
        </w:rPr>
        <w:t>World Politics</w:t>
      </w:r>
      <w:r>
        <w:t xml:space="preserve">  51 (1), October, pp. 144-172</w:t>
      </w:r>
    </w:p>
    <w:p w:rsidR="00A62649" w:rsidRDefault="00A62649" w:rsidP="00A62649">
      <w:pPr>
        <w:spacing w:line="480" w:lineRule="auto"/>
        <w:ind w:left="720" w:hanging="720"/>
      </w:pPr>
      <w:r>
        <w:t xml:space="preserve">Sheng, A. (2009), </w:t>
      </w:r>
      <w:r>
        <w:rPr>
          <w:i/>
        </w:rPr>
        <w:t>From Asian to Global Financial Crisis: An Asian Regulator’s View of Unfettered Finance in the 1990s and 2000s</w:t>
      </w:r>
      <w:r>
        <w:t xml:space="preserve">  (Cambridge: Cambridge University Press).</w:t>
      </w:r>
    </w:p>
    <w:p w:rsidR="00A62649" w:rsidRDefault="00A62649" w:rsidP="00A62649">
      <w:pPr>
        <w:spacing w:line="480" w:lineRule="auto"/>
        <w:ind w:left="720" w:hanging="720"/>
      </w:pPr>
      <w:r>
        <w:t xml:space="preserve">Singer, J. D., Bremer, S. and Stuckey, J. (1972), ‘Capability Distribution, Uncertainty, and Major Power War, 1820-1965’, in B. </w:t>
      </w:r>
      <w:proofErr w:type="spellStart"/>
      <w:r>
        <w:t>Russett</w:t>
      </w:r>
      <w:proofErr w:type="spellEnd"/>
      <w:r>
        <w:t xml:space="preserve"> (ed.) </w:t>
      </w:r>
      <w:r>
        <w:rPr>
          <w:i/>
          <w:iCs/>
        </w:rPr>
        <w:t>Peace, War, and Numbers</w:t>
      </w:r>
      <w:r>
        <w:t xml:space="preserve"> (Beverly Hills: Sage), pp. 19-48.</w:t>
      </w:r>
    </w:p>
    <w:p w:rsidR="00A62649" w:rsidRDefault="00A62649" w:rsidP="00A62649">
      <w:pPr>
        <w:pStyle w:val="NormalWeb"/>
        <w:spacing w:before="0" w:beforeAutospacing="0" w:after="0" w:afterAutospacing="0" w:line="480" w:lineRule="auto"/>
        <w:ind w:left="720" w:hanging="72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Steil</w:t>
      </w:r>
      <w:proofErr w:type="spellEnd"/>
      <w:r>
        <w:rPr>
          <w:rFonts w:ascii="Times New Roman" w:hAnsi="Times New Roman" w:cs="Times New Roman"/>
          <w:color w:val="auto"/>
          <w:sz w:val="24"/>
          <w:szCs w:val="24"/>
        </w:rPr>
        <w:t xml:space="preserve">, B. and </w:t>
      </w:r>
      <w:proofErr w:type="spellStart"/>
      <w:r>
        <w:rPr>
          <w:rFonts w:ascii="Times New Roman" w:hAnsi="Times New Roman" w:cs="Times New Roman"/>
          <w:color w:val="auto"/>
          <w:sz w:val="24"/>
          <w:szCs w:val="24"/>
        </w:rPr>
        <w:t>Litan</w:t>
      </w:r>
      <w:proofErr w:type="spellEnd"/>
      <w:r>
        <w:rPr>
          <w:rFonts w:ascii="Times New Roman" w:hAnsi="Times New Roman" w:cs="Times New Roman"/>
          <w:color w:val="auto"/>
          <w:sz w:val="24"/>
          <w:szCs w:val="24"/>
        </w:rPr>
        <w:t xml:space="preserve">, R.E. (2006), </w:t>
      </w:r>
      <w:r>
        <w:rPr>
          <w:rFonts w:ascii="Times New Roman" w:hAnsi="Times New Roman" w:cs="Times New Roman"/>
          <w:i/>
          <w:color w:val="auto"/>
          <w:sz w:val="24"/>
          <w:szCs w:val="24"/>
        </w:rPr>
        <w:t xml:space="preserve">Financial Statecraft: The Role of Financial Markets in American Foreign Policy </w:t>
      </w:r>
      <w:r>
        <w:rPr>
          <w:rFonts w:ascii="Times New Roman" w:hAnsi="Times New Roman" w:cs="Times New Roman"/>
          <w:color w:val="auto"/>
          <w:sz w:val="24"/>
          <w:szCs w:val="24"/>
        </w:rPr>
        <w:t>(New Haven, CT: Yale University Press).</w:t>
      </w:r>
    </w:p>
    <w:p w:rsidR="00A62649" w:rsidRPr="008D1BDC" w:rsidRDefault="00A62649" w:rsidP="00A62649">
      <w:pPr>
        <w:spacing w:line="480" w:lineRule="auto"/>
        <w:ind w:left="720" w:hanging="720"/>
      </w:pPr>
      <w:proofErr w:type="spellStart"/>
      <w:r>
        <w:t>Stiglitz</w:t>
      </w:r>
      <w:proofErr w:type="spellEnd"/>
      <w:r>
        <w:t>, J.</w:t>
      </w:r>
      <w:r w:rsidRPr="008D1BDC">
        <w:t xml:space="preserve">E. </w:t>
      </w:r>
      <w:r>
        <w:t>(2002),</w:t>
      </w:r>
      <w:r w:rsidRPr="008D1BDC">
        <w:t xml:space="preserve">  </w:t>
      </w:r>
      <w:r w:rsidRPr="008D1BDC">
        <w:rPr>
          <w:i/>
          <w:iCs/>
        </w:rPr>
        <w:t>Gl</w:t>
      </w:r>
      <w:r>
        <w:rPr>
          <w:i/>
          <w:iCs/>
        </w:rPr>
        <w:t>obalization and Its Discontents</w:t>
      </w:r>
      <w:r w:rsidRPr="008D1BDC">
        <w:rPr>
          <w:i/>
          <w:iCs/>
        </w:rPr>
        <w:t xml:space="preserve">  </w:t>
      </w:r>
      <w:r>
        <w:rPr>
          <w:iCs/>
        </w:rPr>
        <w:t>(</w:t>
      </w:r>
      <w:r>
        <w:t>New York: W.W. Norton).</w:t>
      </w:r>
    </w:p>
    <w:p w:rsidR="00A62649" w:rsidRPr="00A74A86" w:rsidRDefault="00A62649" w:rsidP="00A62649">
      <w:pPr>
        <w:spacing w:line="480" w:lineRule="auto"/>
        <w:ind w:left="720" w:hanging="720"/>
      </w:pPr>
      <w:r>
        <w:lastRenderedPageBreak/>
        <w:t>Stone, R.</w:t>
      </w:r>
      <w:r w:rsidRPr="008D1BDC">
        <w:t xml:space="preserve">W. </w:t>
      </w:r>
      <w:r>
        <w:t xml:space="preserve">(2011), </w:t>
      </w:r>
      <w:r>
        <w:rPr>
          <w:i/>
        </w:rPr>
        <w:t xml:space="preserve">Controlling Institutions: International Organizations and the Global Economy </w:t>
      </w:r>
      <w:r>
        <w:t>(Cambridge: Cambridge University Press).</w:t>
      </w:r>
    </w:p>
    <w:p w:rsidR="00A62649" w:rsidRPr="003E685B" w:rsidRDefault="00A62649" w:rsidP="00A62649">
      <w:pPr>
        <w:spacing w:line="480" w:lineRule="auto"/>
        <w:ind w:left="720" w:hanging="720"/>
      </w:pPr>
      <w:r>
        <w:t xml:space="preserve">Strange, S. (1998), </w:t>
      </w:r>
      <w:r>
        <w:rPr>
          <w:i/>
        </w:rPr>
        <w:t xml:space="preserve">States and Markets </w:t>
      </w:r>
      <w:r>
        <w:t>(London: Bloomsbury Academic).</w:t>
      </w:r>
    </w:p>
    <w:p w:rsidR="00A62649" w:rsidRDefault="00A62649" w:rsidP="00A62649">
      <w:pPr>
        <w:spacing w:line="480" w:lineRule="auto"/>
        <w:ind w:left="720" w:hanging="720"/>
      </w:pPr>
      <w:r>
        <w:t xml:space="preserve">Sun, T. and </w:t>
      </w:r>
      <w:proofErr w:type="spellStart"/>
      <w:r>
        <w:t>Hesse</w:t>
      </w:r>
      <w:proofErr w:type="spellEnd"/>
      <w:r>
        <w:t xml:space="preserve">, H. (2009), ‘Sovereign wealth funds and financial stability’, </w:t>
      </w:r>
      <w:r w:rsidRPr="00EE6959">
        <w:rPr>
          <w:i/>
        </w:rPr>
        <w:t>VOX</w:t>
      </w:r>
      <w:r>
        <w:rPr>
          <w:i/>
        </w:rPr>
        <w:t xml:space="preserve">, </w:t>
      </w:r>
      <w:r>
        <w:t xml:space="preserve"> March 30.   </w:t>
      </w:r>
      <w:hyperlink r:id="rId9" w:history="1">
        <w:r w:rsidRPr="005A7C21">
          <w:rPr>
            <w:rStyle w:val="Hyperlink"/>
          </w:rPr>
          <w:t>http://www.voxeu.org/article/sovereign-wealth-funds-and-financial-stability</w:t>
        </w:r>
      </w:hyperlink>
    </w:p>
    <w:p w:rsidR="00A62649" w:rsidRPr="006E1C57" w:rsidRDefault="00A62649" w:rsidP="00A62649">
      <w:pPr>
        <w:spacing w:line="480" w:lineRule="auto"/>
        <w:ind w:left="720" w:hanging="720"/>
      </w:pPr>
      <w:r>
        <w:t>Tabb, W.</w:t>
      </w:r>
      <w:r w:rsidRPr="006E1C57">
        <w:t xml:space="preserve">K. </w:t>
      </w:r>
      <w:r>
        <w:t>(2004),</w:t>
      </w:r>
      <w:r w:rsidRPr="006E1C57">
        <w:t xml:space="preserve"> </w:t>
      </w:r>
      <w:r w:rsidRPr="006E1C57">
        <w:rPr>
          <w:i/>
          <w:iCs/>
        </w:rPr>
        <w:t>Economic Govern</w:t>
      </w:r>
      <w:r>
        <w:rPr>
          <w:i/>
          <w:iCs/>
        </w:rPr>
        <w:t>ance in an Age of Globalization</w:t>
      </w:r>
      <w:r w:rsidRPr="006E1C57">
        <w:rPr>
          <w:i/>
          <w:iCs/>
        </w:rPr>
        <w:t xml:space="preserve"> </w:t>
      </w:r>
      <w:r>
        <w:rPr>
          <w:iCs/>
        </w:rPr>
        <w:t>(</w:t>
      </w:r>
      <w:r w:rsidRPr="006E1C57">
        <w:t xml:space="preserve">New </w:t>
      </w:r>
      <w:r>
        <w:t>York: Columbia University Press).</w:t>
      </w:r>
    </w:p>
    <w:p w:rsidR="00A62649" w:rsidRPr="00EE6959" w:rsidRDefault="00A62649" w:rsidP="00A62649">
      <w:pPr>
        <w:spacing w:line="480" w:lineRule="auto"/>
        <w:ind w:left="720" w:hanging="720"/>
      </w:pPr>
      <w:r>
        <w:t xml:space="preserve">Truman, E. (2007),  ‘Sovereign Wealth Funds: The Need for Greater Transparency and Accountability’, </w:t>
      </w:r>
      <w:r w:rsidRPr="00EE6959">
        <w:t>Policy Brief 07-6</w:t>
      </w:r>
      <w:r>
        <w:t xml:space="preserve"> (Washington, D.C.: Peterson Institute for International Economics).</w:t>
      </w:r>
    </w:p>
    <w:p w:rsidR="00A62649" w:rsidRDefault="00A62649" w:rsidP="00A62649">
      <w:pPr>
        <w:spacing w:line="480" w:lineRule="auto"/>
        <w:ind w:left="720" w:hanging="720"/>
      </w:pPr>
      <w:proofErr w:type="spellStart"/>
      <w:r>
        <w:t>Volz</w:t>
      </w:r>
      <w:proofErr w:type="spellEnd"/>
      <w:r>
        <w:t xml:space="preserve">, U. (ed.) (2012), </w:t>
      </w:r>
      <w:r>
        <w:rPr>
          <w:i/>
        </w:rPr>
        <w:t xml:space="preserve">Financial Stability in Emerging Markets: Dealing with Global Liquidity </w:t>
      </w:r>
      <w:r>
        <w:t xml:space="preserve">(Berlin: German Development Institute). At: </w:t>
      </w:r>
      <w:hyperlink r:id="rId10" w:history="1">
        <w:r>
          <w:rPr>
            <w:rStyle w:val="Hyperlink"/>
          </w:rPr>
          <w:t>http://www.die-gdi.de/CMS-Homepage/openwebcms3.nsf/%28ynDK_contentByKey%29/ANES-8TFGBN/$FILE/E-Publication%20Volz.pdf</w:t>
        </w:r>
      </w:hyperlink>
    </w:p>
    <w:p w:rsidR="00A62649" w:rsidRDefault="00A62649" w:rsidP="00A62649">
      <w:pPr>
        <w:spacing w:line="480" w:lineRule="auto"/>
        <w:ind w:left="720" w:hanging="720"/>
      </w:pPr>
      <w:r>
        <w:t>Wade, R. (1996), ‘</w:t>
      </w:r>
      <w:r w:rsidRPr="00D221CF">
        <w:t>Japan, the World Bank, and the Art of Paradigm Maintenance: The East Asian Miracle in Political Perspective</w:t>
      </w:r>
      <w:r>
        <w:t xml:space="preserve">’, </w:t>
      </w:r>
      <w:r w:rsidRPr="008054B5">
        <w:rPr>
          <w:i/>
        </w:rPr>
        <w:t>New Left Review</w:t>
      </w:r>
      <w:r w:rsidRPr="00D221CF">
        <w:t xml:space="preserve"> I/217, May-June</w:t>
      </w:r>
      <w:r>
        <w:t>, pp. 3-36.</w:t>
      </w:r>
    </w:p>
    <w:p w:rsidR="00A62649" w:rsidRDefault="00A62649" w:rsidP="00A62649">
      <w:pPr>
        <w:spacing w:line="480" w:lineRule="auto"/>
        <w:ind w:left="720" w:hanging="720"/>
      </w:pPr>
      <w:r>
        <w:t xml:space="preserve">Wade, R. (1998), ‘The Asian Debt-and-development Crisis of 1997-?: Causes and Consequences’, </w:t>
      </w:r>
      <w:r>
        <w:rPr>
          <w:i/>
        </w:rPr>
        <w:t>World Development</w:t>
      </w:r>
      <w:r>
        <w:t>, 26 (8), pp. 1535-1553.</w:t>
      </w:r>
    </w:p>
    <w:p w:rsidR="00A62649" w:rsidRDefault="00A62649" w:rsidP="00A62649">
      <w:pPr>
        <w:spacing w:line="480" w:lineRule="auto"/>
        <w:ind w:left="720" w:hanging="720"/>
      </w:pPr>
      <w:r>
        <w:t xml:space="preserve">-------- (2004), </w:t>
      </w:r>
      <w:r w:rsidRPr="00CA36B8">
        <w:rPr>
          <w:i/>
        </w:rPr>
        <w:t>Governing the Market: Economic Theory and the Role of Government in East Asian Industrialization</w:t>
      </w:r>
      <w:r>
        <w:t xml:space="preserve"> (2nd edition) (Princeton: Princeton University Press).</w:t>
      </w:r>
    </w:p>
    <w:p w:rsidR="00A62649" w:rsidRDefault="00A62649" w:rsidP="00A62649">
      <w:pPr>
        <w:spacing w:line="480" w:lineRule="auto"/>
        <w:ind w:left="720" w:hanging="720"/>
      </w:pPr>
      <w:r>
        <w:t xml:space="preserve">Waltz, K. N. (1979),  </w:t>
      </w:r>
      <w:r>
        <w:rPr>
          <w:i/>
          <w:iCs/>
        </w:rPr>
        <w:t>Theory of International Politics</w:t>
      </w:r>
      <w:r>
        <w:t xml:space="preserve"> (New York: McGraw-Hill).</w:t>
      </w:r>
    </w:p>
    <w:p w:rsidR="00A62649" w:rsidRDefault="00A62649" w:rsidP="00A62649">
      <w:pPr>
        <w:spacing w:line="480" w:lineRule="auto"/>
        <w:ind w:left="720" w:hanging="720"/>
      </w:pPr>
      <w:r w:rsidRPr="000A70DF">
        <w:t xml:space="preserve">Wheatley, </w:t>
      </w:r>
      <w:r>
        <w:t>J. (2010), ‘Brazil in “currency war” alert’,</w:t>
      </w:r>
      <w:r w:rsidRPr="000A70DF">
        <w:t xml:space="preserve"> </w:t>
      </w:r>
      <w:r w:rsidRPr="000A70DF">
        <w:rPr>
          <w:i/>
        </w:rPr>
        <w:t xml:space="preserve">Financial Times, </w:t>
      </w:r>
      <w:r w:rsidRPr="000A70DF">
        <w:t>September 27</w:t>
      </w:r>
      <w:r>
        <w:t>.</w:t>
      </w:r>
    </w:p>
    <w:p w:rsidR="00A62649" w:rsidRPr="00B33CB2" w:rsidRDefault="00A62649" w:rsidP="00A62649">
      <w:pPr>
        <w:spacing w:line="480" w:lineRule="auto"/>
        <w:ind w:left="720" w:hanging="720"/>
      </w:pPr>
      <w:r>
        <w:lastRenderedPageBreak/>
        <w:t xml:space="preserve">Wise, C., Armijo, L.E. and </w:t>
      </w:r>
      <w:proofErr w:type="spellStart"/>
      <w:r>
        <w:t>Katada</w:t>
      </w:r>
      <w:proofErr w:type="spellEnd"/>
      <w:r>
        <w:t>, S.N. (</w:t>
      </w:r>
      <w:proofErr w:type="spellStart"/>
      <w:r>
        <w:t>eds</w:t>
      </w:r>
      <w:proofErr w:type="spellEnd"/>
      <w:r>
        <w:t xml:space="preserve">) (2013), </w:t>
      </w:r>
      <w:r w:rsidRPr="00831223">
        <w:rPr>
          <w:i/>
        </w:rPr>
        <w:t>Unexpected Outcomes: How Emerging Markets Survived the Global Financial Crisis</w:t>
      </w:r>
      <w:r>
        <w:rPr>
          <w:i/>
        </w:rPr>
        <w:t xml:space="preserve">. </w:t>
      </w:r>
      <w:r>
        <w:t>Book manuscript, under review.</w:t>
      </w:r>
    </w:p>
    <w:p w:rsidR="00A62649" w:rsidRDefault="00A62649" w:rsidP="00A62649">
      <w:pPr>
        <w:spacing w:line="480" w:lineRule="auto"/>
      </w:pPr>
      <w:r>
        <w:t xml:space="preserve">World Bank (2011), </w:t>
      </w:r>
      <w:r>
        <w:rPr>
          <w:i/>
        </w:rPr>
        <w:t>World Development Horizons</w:t>
      </w:r>
      <w:r>
        <w:t xml:space="preserve"> (Washington DC: The World Bank).</w:t>
      </w:r>
    </w:p>
    <w:p w:rsidR="00A62649" w:rsidRDefault="00A62649" w:rsidP="00A62649">
      <w:pPr>
        <w:spacing w:line="480" w:lineRule="auto"/>
      </w:pPr>
      <w:r>
        <w:br w:type="page"/>
      </w:r>
    </w:p>
    <w:p w:rsidR="00A62649" w:rsidRDefault="00A62649" w:rsidP="00A62649">
      <w:pPr>
        <w:spacing w:line="480" w:lineRule="auto"/>
      </w:pPr>
      <w:r>
        <w:lastRenderedPageBreak/>
        <w:t xml:space="preserve">Table 1: Relative Material Capabilities of States </w:t>
      </w:r>
    </w:p>
    <w:p w:rsidR="00A62649" w:rsidRDefault="00A62649" w:rsidP="00A62649">
      <w:pPr>
        <w:spacing w:line="480" w:lineRule="auto"/>
      </w:pPr>
      <w:r>
        <w:t>(percent of world)</w:t>
      </w:r>
    </w:p>
    <w:p w:rsidR="00A62649" w:rsidRDefault="00A62649" w:rsidP="00A62649">
      <w:pPr>
        <w:spacing w:line="480" w:lineRule="auto"/>
      </w:pPr>
    </w:p>
    <w:tbl>
      <w:tblPr>
        <w:tblStyle w:val="TableGrid"/>
        <w:tblW w:w="0" w:type="auto"/>
        <w:tblLook w:val="04A0" w:firstRow="1" w:lastRow="0" w:firstColumn="1" w:lastColumn="0" w:noHBand="0" w:noVBand="1"/>
      </w:tblPr>
      <w:tblGrid>
        <w:gridCol w:w="1368"/>
        <w:gridCol w:w="1620"/>
        <w:gridCol w:w="1530"/>
        <w:gridCol w:w="1440"/>
        <w:gridCol w:w="2022"/>
        <w:gridCol w:w="1596"/>
      </w:tblGrid>
      <w:tr w:rsidR="00A62649" w:rsidTr="00702644">
        <w:tc>
          <w:tcPr>
            <w:tcW w:w="1368" w:type="dxa"/>
            <w:tcBorders>
              <w:top w:val="single" w:sz="4" w:space="0" w:color="auto"/>
              <w:left w:val="single" w:sz="4" w:space="0" w:color="auto"/>
              <w:bottom w:val="single" w:sz="4" w:space="0" w:color="auto"/>
              <w:right w:val="single" w:sz="4" w:space="0" w:color="auto"/>
            </w:tcBorders>
          </w:tcPr>
          <w:p w:rsidR="00A62649" w:rsidRDefault="00A62649" w:rsidP="00702644">
            <w:pPr>
              <w:spacing w:line="480" w:lineRule="auto"/>
              <w:jc w:val="right"/>
              <w:rPr>
                <w:rFonts w:ascii="Times New Roman" w:hAnsi="Times New Roman"/>
              </w:rPr>
            </w:pPr>
          </w:p>
        </w:tc>
        <w:tc>
          <w:tcPr>
            <w:tcW w:w="4590" w:type="dxa"/>
            <w:gridSpan w:val="3"/>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Composite Index of National Capabilities (CINC)</w:t>
            </w:r>
          </w:p>
        </w:tc>
        <w:tc>
          <w:tcPr>
            <w:tcW w:w="3618" w:type="dxa"/>
            <w:gridSpan w:val="2"/>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Contemporary Capabilities Index (CCI)</w:t>
            </w:r>
          </w:p>
        </w:tc>
      </w:tr>
      <w:tr w:rsidR="00A62649" w:rsidRPr="00E146F3" w:rsidTr="00702644">
        <w:tc>
          <w:tcPr>
            <w:tcW w:w="1368" w:type="dxa"/>
            <w:tcBorders>
              <w:top w:val="single" w:sz="4" w:space="0" w:color="auto"/>
              <w:left w:val="single" w:sz="4" w:space="0" w:color="auto"/>
              <w:bottom w:val="single" w:sz="4" w:space="0" w:color="auto"/>
              <w:right w:val="single" w:sz="4" w:space="0" w:color="auto"/>
            </w:tcBorders>
            <w:hideMark/>
          </w:tcPr>
          <w:p w:rsidR="00A62649" w:rsidRPr="00551086" w:rsidRDefault="00A62649" w:rsidP="00702644">
            <w:pPr>
              <w:spacing w:line="480" w:lineRule="auto"/>
              <w:jc w:val="right"/>
              <w:rPr>
                <w:rFonts w:ascii="Times New Roman" w:hAnsi="Times New Roman"/>
                <w:b/>
              </w:rPr>
            </w:pPr>
            <w:r w:rsidRPr="00551086">
              <w:rPr>
                <w:b/>
              </w:rPr>
              <w:t>Year</w:t>
            </w:r>
          </w:p>
        </w:tc>
        <w:tc>
          <w:tcPr>
            <w:tcW w:w="1620" w:type="dxa"/>
            <w:tcBorders>
              <w:top w:val="single" w:sz="4" w:space="0" w:color="auto"/>
              <w:left w:val="single" w:sz="4" w:space="0" w:color="auto"/>
              <w:bottom w:val="single" w:sz="4" w:space="0" w:color="auto"/>
              <w:right w:val="single" w:sz="4" w:space="0" w:color="auto"/>
            </w:tcBorders>
            <w:hideMark/>
          </w:tcPr>
          <w:p w:rsidR="00A62649" w:rsidRPr="00551086" w:rsidRDefault="00A62649" w:rsidP="00702644">
            <w:pPr>
              <w:spacing w:line="480" w:lineRule="auto"/>
              <w:jc w:val="center"/>
              <w:rPr>
                <w:rFonts w:ascii="Times New Roman" w:hAnsi="Times New Roman"/>
                <w:b/>
              </w:rPr>
            </w:pPr>
            <w:r w:rsidRPr="00551086">
              <w:rPr>
                <w:b/>
              </w:rPr>
              <w:t>1955</w:t>
            </w:r>
          </w:p>
        </w:tc>
        <w:tc>
          <w:tcPr>
            <w:tcW w:w="1530" w:type="dxa"/>
            <w:tcBorders>
              <w:top w:val="single" w:sz="4" w:space="0" w:color="auto"/>
              <w:left w:val="single" w:sz="4" w:space="0" w:color="auto"/>
              <w:bottom w:val="single" w:sz="4" w:space="0" w:color="auto"/>
              <w:right w:val="single" w:sz="4" w:space="0" w:color="auto"/>
            </w:tcBorders>
            <w:hideMark/>
          </w:tcPr>
          <w:p w:rsidR="00A62649" w:rsidRPr="00551086" w:rsidRDefault="00A62649" w:rsidP="00702644">
            <w:pPr>
              <w:spacing w:line="480" w:lineRule="auto"/>
              <w:jc w:val="center"/>
              <w:rPr>
                <w:rFonts w:ascii="Times New Roman" w:hAnsi="Times New Roman"/>
                <w:b/>
              </w:rPr>
            </w:pPr>
            <w:r w:rsidRPr="00551086">
              <w:rPr>
                <w:b/>
              </w:rPr>
              <w:t>1990</w:t>
            </w:r>
          </w:p>
        </w:tc>
        <w:tc>
          <w:tcPr>
            <w:tcW w:w="1440" w:type="dxa"/>
            <w:tcBorders>
              <w:top w:val="single" w:sz="4" w:space="0" w:color="auto"/>
              <w:left w:val="single" w:sz="4" w:space="0" w:color="auto"/>
              <w:bottom w:val="single" w:sz="4" w:space="0" w:color="auto"/>
              <w:right w:val="single" w:sz="4" w:space="0" w:color="auto"/>
            </w:tcBorders>
            <w:hideMark/>
          </w:tcPr>
          <w:p w:rsidR="00A62649" w:rsidRPr="00551086" w:rsidRDefault="00A62649" w:rsidP="00702644">
            <w:pPr>
              <w:spacing w:line="480" w:lineRule="auto"/>
              <w:jc w:val="center"/>
              <w:rPr>
                <w:rFonts w:ascii="Times New Roman" w:hAnsi="Times New Roman"/>
                <w:b/>
              </w:rPr>
            </w:pPr>
            <w:r w:rsidRPr="00551086">
              <w:rPr>
                <w:b/>
              </w:rPr>
              <w:t>2007</w:t>
            </w:r>
          </w:p>
        </w:tc>
        <w:tc>
          <w:tcPr>
            <w:tcW w:w="2022" w:type="dxa"/>
            <w:tcBorders>
              <w:top w:val="single" w:sz="4" w:space="0" w:color="auto"/>
              <w:left w:val="single" w:sz="4" w:space="0" w:color="auto"/>
              <w:bottom w:val="single" w:sz="4" w:space="0" w:color="auto"/>
              <w:right w:val="single" w:sz="4" w:space="0" w:color="auto"/>
            </w:tcBorders>
            <w:hideMark/>
          </w:tcPr>
          <w:p w:rsidR="00A62649" w:rsidRPr="00551086" w:rsidRDefault="00A62649" w:rsidP="00702644">
            <w:pPr>
              <w:spacing w:line="480" w:lineRule="auto"/>
              <w:jc w:val="center"/>
              <w:rPr>
                <w:rFonts w:ascii="Times New Roman" w:hAnsi="Times New Roman"/>
                <w:b/>
              </w:rPr>
            </w:pPr>
            <w:r w:rsidRPr="00551086">
              <w:rPr>
                <w:b/>
              </w:rPr>
              <w:t>1990</w:t>
            </w:r>
          </w:p>
        </w:tc>
        <w:tc>
          <w:tcPr>
            <w:tcW w:w="1596" w:type="dxa"/>
            <w:tcBorders>
              <w:top w:val="single" w:sz="4" w:space="0" w:color="auto"/>
              <w:left w:val="single" w:sz="4" w:space="0" w:color="auto"/>
              <w:bottom w:val="single" w:sz="4" w:space="0" w:color="auto"/>
              <w:right w:val="single" w:sz="4" w:space="0" w:color="auto"/>
            </w:tcBorders>
            <w:hideMark/>
          </w:tcPr>
          <w:p w:rsidR="00A62649" w:rsidRPr="00551086" w:rsidRDefault="00A62649" w:rsidP="00702644">
            <w:pPr>
              <w:spacing w:line="480" w:lineRule="auto"/>
              <w:jc w:val="center"/>
              <w:rPr>
                <w:rFonts w:ascii="Times New Roman" w:hAnsi="Times New Roman"/>
                <w:b/>
              </w:rPr>
            </w:pPr>
            <w:r w:rsidRPr="00551086">
              <w:rPr>
                <w:b/>
              </w:rPr>
              <w:t>2007-9</w:t>
            </w:r>
          </w:p>
        </w:tc>
      </w:tr>
      <w:tr w:rsidR="00A62649" w:rsidTr="00702644">
        <w:tc>
          <w:tcPr>
            <w:tcW w:w="1368"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right"/>
              <w:rPr>
                <w:rFonts w:ascii="Times New Roman" w:hAnsi="Times New Roman"/>
              </w:rPr>
            </w:pPr>
            <w:r>
              <w:rPr>
                <w:rFonts w:ascii="Times New Roman" w:hAnsi="Times New Roman"/>
              </w:rPr>
              <w:t>G7</w:t>
            </w:r>
          </w:p>
        </w:tc>
        <w:tc>
          <w:tcPr>
            <w:tcW w:w="162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44.6</w:t>
            </w:r>
          </w:p>
        </w:tc>
        <w:tc>
          <w:tcPr>
            <w:tcW w:w="153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29.8</w:t>
            </w:r>
          </w:p>
        </w:tc>
        <w:tc>
          <w:tcPr>
            <w:tcW w:w="144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27.7</w:t>
            </w:r>
          </w:p>
        </w:tc>
        <w:tc>
          <w:tcPr>
            <w:tcW w:w="2022"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47.3</w:t>
            </w:r>
          </w:p>
        </w:tc>
        <w:tc>
          <w:tcPr>
            <w:tcW w:w="1596"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36.3</w:t>
            </w:r>
          </w:p>
        </w:tc>
      </w:tr>
      <w:tr w:rsidR="00A62649" w:rsidTr="00702644">
        <w:tc>
          <w:tcPr>
            <w:tcW w:w="1368"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right"/>
              <w:rPr>
                <w:rFonts w:ascii="Times New Roman" w:hAnsi="Times New Roman"/>
              </w:rPr>
            </w:pPr>
            <w:r>
              <w:rPr>
                <w:rFonts w:ascii="Times New Roman" w:hAnsi="Times New Roman"/>
              </w:rPr>
              <w:t>BIC</w:t>
            </w:r>
          </w:p>
        </w:tc>
        <w:tc>
          <w:tcPr>
            <w:tcW w:w="162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14.7</w:t>
            </w:r>
          </w:p>
        </w:tc>
        <w:tc>
          <w:tcPr>
            <w:tcW w:w="153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17.5</w:t>
            </w:r>
          </w:p>
        </w:tc>
        <w:tc>
          <w:tcPr>
            <w:tcW w:w="144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29.7</w:t>
            </w:r>
          </w:p>
        </w:tc>
        <w:tc>
          <w:tcPr>
            <w:tcW w:w="2022"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10.4</w:t>
            </w:r>
          </w:p>
        </w:tc>
        <w:tc>
          <w:tcPr>
            <w:tcW w:w="1596"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22.2</w:t>
            </w:r>
          </w:p>
        </w:tc>
      </w:tr>
      <w:tr w:rsidR="00A62649" w:rsidTr="00702644">
        <w:tc>
          <w:tcPr>
            <w:tcW w:w="1368"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right"/>
              <w:rPr>
                <w:rFonts w:ascii="Times New Roman" w:hAnsi="Times New Roman"/>
              </w:rPr>
            </w:pPr>
            <w:r>
              <w:rPr>
                <w:rFonts w:ascii="Times New Roman" w:hAnsi="Times New Roman"/>
              </w:rPr>
              <w:t>ROW</w:t>
            </w:r>
          </w:p>
        </w:tc>
        <w:tc>
          <w:tcPr>
            <w:tcW w:w="162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40.7</w:t>
            </w:r>
          </w:p>
        </w:tc>
        <w:tc>
          <w:tcPr>
            <w:tcW w:w="153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51.3</w:t>
            </w:r>
          </w:p>
        </w:tc>
        <w:tc>
          <w:tcPr>
            <w:tcW w:w="144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42.6</w:t>
            </w:r>
          </w:p>
        </w:tc>
        <w:tc>
          <w:tcPr>
            <w:tcW w:w="2022"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42.3</w:t>
            </w:r>
          </w:p>
        </w:tc>
        <w:tc>
          <w:tcPr>
            <w:tcW w:w="1596"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rPr>
            </w:pPr>
            <w:r>
              <w:rPr>
                <w:rFonts w:ascii="Times New Roman" w:hAnsi="Times New Roman"/>
              </w:rPr>
              <w:t>41.5</w:t>
            </w:r>
          </w:p>
        </w:tc>
      </w:tr>
      <w:tr w:rsidR="00A62649" w:rsidTr="00702644">
        <w:tc>
          <w:tcPr>
            <w:tcW w:w="1368"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right"/>
              <w:rPr>
                <w:rFonts w:ascii="Times New Roman" w:hAnsi="Times New Roman"/>
                <w:i/>
              </w:rPr>
            </w:pPr>
            <w:r>
              <w:rPr>
                <w:rFonts w:ascii="Times New Roman" w:hAnsi="Times New Roman"/>
                <w:i/>
              </w:rPr>
              <w:t>Memo: US</w:t>
            </w:r>
          </w:p>
        </w:tc>
        <w:tc>
          <w:tcPr>
            <w:tcW w:w="162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26.6</w:t>
            </w:r>
          </w:p>
        </w:tc>
        <w:tc>
          <w:tcPr>
            <w:tcW w:w="153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13.9</w:t>
            </w:r>
          </w:p>
        </w:tc>
        <w:tc>
          <w:tcPr>
            <w:tcW w:w="144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14.2</w:t>
            </w:r>
          </w:p>
        </w:tc>
        <w:tc>
          <w:tcPr>
            <w:tcW w:w="2022"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21.4</w:t>
            </w:r>
          </w:p>
        </w:tc>
        <w:tc>
          <w:tcPr>
            <w:tcW w:w="1596"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17.0</w:t>
            </w:r>
          </w:p>
        </w:tc>
      </w:tr>
      <w:tr w:rsidR="00A62649" w:rsidTr="00702644">
        <w:tc>
          <w:tcPr>
            <w:tcW w:w="1368"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right"/>
              <w:rPr>
                <w:rFonts w:ascii="Times New Roman" w:hAnsi="Times New Roman"/>
                <w:i/>
              </w:rPr>
            </w:pPr>
            <w:r>
              <w:rPr>
                <w:rFonts w:ascii="Times New Roman" w:hAnsi="Times New Roman"/>
                <w:i/>
              </w:rPr>
              <w:t>Memo: China</w:t>
            </w:r>
          </w:p>
        </w:tc>
        <w:tc>
          <w:tcPr>
            <w:tcW w:w="162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9.1</w:t>
            </w:r>
          </w:p>
        </w:tc>
        <w:tc>
          <w:tcPr>
            <w:tcW w:w="153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10.6</w:t>
            </w:r>
          </w:p>
        </w:tc>
        <w:tc>
          <w:tcPr>
            <w:tcW w:w="1440"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19.9</w:t>
            </w:r>
          </w:p>
        </w:tc>
        <w:tc>
          <w:tcPr>
            <w:tcW w:w="2022"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5.1</w:t>
            </w:r>
          </w:p>
        </w:tc>
        <w:tc>
          <w:tcPr>
            <w:tcW w:w="1596" w:type="dxa"/>
            <w:tcBorders>
              <w:top w:val="single" w:sz="4" w:space="0" w:color="auto"/>
              <w:left w:val="single" w:sz="4" w:space="0" w:color="auto"/>
              <w:bottom w:val="single" w:sz="4" w:space="0" w:color="auto"/>
              <w:right w:val="single" w:sz="4" w:space="0" w:color="auto"/>
            </w:tcBorders>
            <w:hideMark/>
          </w:tcPr>
          <w:p w:rsidR="00A62649" w:rsidRDefault="00A62649" w:rsidP="00702644">
            <w:pPr>
              <w:spacing w:line="480" w:lineRule="auto"/>
              <w:jc w:val="center"/>
              <w:rPr>
                <w:rFonts w:ascii="Times New Roman" w:hAnsi="Times New Roman"/>
                <w:i/>
              </w:rPr>
            </w:pPr>
            <w:r>
              <w:rPr>
                <w:rFonts w:ascii="Times New Roman" w:hAnsi="Times New Roman"/>
                <w:i/>
              </w:rPr>
              <w:t>14.1</w:t>
            </w:r>
          </w:p>
        </w:tc>
      </w:tr>
    </w:tbl>
    <w:p w:rsidR="00A62649" w:rsidRDefault="00A62649" w:rsidP="00A62649">
      <w:pPr>
        <w:spacing w:line="480" w:lineRule="auto"/>
        <w:rPr>
          <w:i/>
        </w:rPr>
      </w:pPr>
    </w:p>
    <w:p w:rsidR="00A62649" w:rsidRDefault="00A62649" w:rsidP="00A62649">
      <w:pPr>
        <w:spacing w:line="480" w:lineRule="auto"/>
      </w:pPr>
      <w:r>
        <w:t>Notes: G7= Canada, France, Germany, Italy, Japan, U.S., UK; BIC = Brazil, India, China; ROW = Rest of World.</w:t>
      </w:r>
    </w:p>
    <w:p w:rsidR="00A62649" w:rsidRDefault="00A62649" w:rsidP="00A62649">
      <w:pPr>
        <w:spacing w:line="480" w:lineRule="auto"/>
      </w:pPr>
      <w:r>
        <w:t xml:space="preserve">Sources: CINC: Singer, Bremer, and Stuckey 1972, as updated by CINC dataset Version 4, at: </w:t>
      </w:r>
      <w:hyperlink r:id="rId11" w:history="1">
        <w:r>
          <w:rPr>
            <w:rStyle w:val="Hyperlink"/>
          </w:rPr>
          <w:t>www.correlatesofwar.org</w:t>
        </w:r>
      </w:hyperlink>
      <w:r>
        <w:t xml:space="preserve">. CCI: Armijo, </w:t>
      </w:r>
      <w:proofErr w:type="spellStart"/>
      <w:r>
        <w:t>Muehlich</w:t>
      </w:r>
      <w:proofErr w:type="spellEnd"/>
      <w:r>
        <w:t xml:space="preserve">, and </w:t>
      </w:r>
      <w:proofErr w:type="spellStart"/>
      <w:r>
        <w:t>Tirone</w:t>
      </w:r>
      <w:proofErr w:type="spellEnd"/>
      <w:r>
        <w:t xml:space="preserve"> (forthcoming).</w:t>
      </w:r>
    </w:p>
    <w:p w:rsidR="00A62649" w:rsidRDefault="00A62649" w:rsidP="00A62649">
      <w:pPr>
        <w:spacing w:line="480" w:lineRule="auto"/>
      </w:pPr>
    </w:p>
    <w:p w:rsidR="00A62649" w:rsidRDefault="00A62649" w:rsidP="00A62649">
      <w:pPr>
        <w:spacing w:line="480" w:lineRule="auto"/>
        <w:rPr>
          <w:b/>
        </w:rPr>
      </w:pPr>
      <w:r>
        <w:rPr>
          <w:b/>
        </w:rPr>
        <w:t xml:space="preserve"> </w:t>
      </w:r>
    </w:p>
    <w:p w:rsidR="00A62649" w:rsidRDefault="00A62649" w:rsidP="00A62649">
      <w:pPr>
        <w:spacing w:line="480" w:lineRule="auto"/>
        <w:rPr>
          <w:b/>
        </w:rPr>
      </w:pPr>
      <w:r>
        <w:rPr>
          <w:b/>
        </w:rPr>
        <w:br w:type="page"/>
      </w:r>
    </w:p>
    <w:p w:rsidR="00A62649" w:rsidRDefault="00A62649" w:rsidP="00A62649">
      <w:pPr>
        <w:spacing w:line="480" w:lineRule="auto"/>
        <w:rPr>
          <w:b/>
        </w:rPr>
      </w:pPr>
      <w:r>
        <w:rPr>
          <w:b/>
        </w:rPr>
        <w:lastRenderedPageBreak/>
        <w:t>Table 2. Forms of Financial Statecraft</w:t>
      </w:r>
    </w:p>
    <w:p w:rsidR="00A62649" w:rsidRDefault="00A62649" w:rsidP="00A62649"/>
    <w:tbl>
      <w:tblPr>
        <w:tblStyle w:val="TableGrid"/>
        <w:tblW w:w="9767" w:type="dxa"/>
        <w:tblCellMar>
          <w:top w:w="115" w:type="dxa"/>
          <w:left w:w="115" w:type="dxa"/>
          <w:bottom w:w="115" w:type="dxa"/>
          <w:right w:w="115" w:type="dxa"/>
        </w:tblCellMar>
        <w:tblLook w:val="04A0" w:firstRow="1" w:lastRow="0" w:firstColumn="1" w:lastColumn="0" w:noHBand="0" w:noVBand="1"/>
      </w:tblPr>
      <w:tblGrid>
        <w:gridCol w:w="2365"/>
        <w:gridCol w:w="3701"/>
        <w:gridCol w:w="3701"/>
      </w:tblGrid>
      <w:tr w:rsidR="00A62649" w:rsidTr="00702644">
        <w:tc>
          <w:tcPr>
            <w:tcW w:w="2365" w:type="dxa"/>
            <w:tcBorders>
              <w:top w:val="single" w:sz="4" w:space="0" w:color="auto"/>
              <w:left w:val="single" w:sz="4" w:space="0" w:color="auto"/>
              <w:bottom w:val="single" w:sz="4" w:space="0" w:color="auto"/>
              <w:right w:val="single" w:sz="4" w:space="0" w:color="auto"/>
            </w:tcBorders>
          </w:tcPr>
          <w:p w:rsidR="00A62649" w:rsidRDefault="00A62649" w:rsidP="00702644">
            <w:pPr>
              <w:rPr>
                <w:b/>
              </w:rPr>
            </w:pPr>
          </w:p>
        </w:tc>
        <w:tc>
          <w:tcPr>
            <w:tcW w:w="3701" w:type="dxa"/>
            <w:tcBorders>
              <w:top w:val="single" w:sz="4" w:space="0" w:color="auto"/>
              <w:left w:val="single" w:sz="4" w:space="0" w:color="auto"/>
              <w:bottom w:val="single" w:sz="4" w:space="0" w:color="auto"/>
              <w:right w:val="single" w:sz="4" w:space="0" w:color="auto"/>
            </w:tcBorders>
            <w:hideMark/>
          </w:tcPr>
          <w:p w:rsidR="00A62649" w:rsidRDefault="00A62649" w:rsidP="00702644">
            <w:pPr>
              <w:rPr>
                <w:rFonts w:ascii="Times New Roman" w:hAnsi="Times New Roman"/>
              </w:rPr>
            </w:pPr>
            <w:r>
              <w:rPr>
                <w:rFonts w:ascii="Times New Roman" w:hAnsi="Times New Roman"/>
                <w:b/>
              </w:rPr>
              <w:t>DEFENSIVE</w:t>
            </w:r>
          </w:p>
          <w:p w:rsidR="00A62649" w:rsidRDefault="00A62649" w:rsidP="00702644">
            <w:pPr>
              <w:rPr>
                <w:rFonts w:ascii="Times New Roman" w:hAnsi="Times New Roman"/>
              </w:rPr>
            </w:pPr>
            <w:r>
              <w:rPr>
                <w:rFonts w:ascii="Times New Roman" w:hAnsi="Times New Roman"/>
              </w:rPr>
              <w:t>(State A uses shield)</w:t>
            </w:r>
          </w:p>
        </w:tc>
        <w:tc>
          <w:tcPr>
            <w:tcW w:w="3701" w:type="dxa"/>
            <w:tcBorders>
              <w:top w:val="single" w:sz="4" w:space="0" w:color="auto"/>
              <w:left w:val="single" w:sz="4" w:space="0" w:color="auto"/>
              <w:bottom w:val="single" w:sz="4" w:space="0" w:color="auto"/>
              <w:right w:val="single" w:sz="4" w:space="0" w:color="auto"/>
            </w:tcBorders>
          </w:tcPr>
          <w:p w:rsidR="00A62649" w:rsidRDefault="00A62649" w:rsidP="00702644">
            <w:pPr>
              <w:rPr>
                <w:rFonts w:ascii="Times New Roman" w:hAnsi="Times New Roman"/>
                <w:b/>
              </w:rPr>
            </w:pPr>
            <w:r>
              <w:rPr>
                <w:rFonts w:ascii="Times New Roman" w:hAnsi="Times New Roman"/>
                <w:b/>
              </w:rPr>
              <w:t>OFFENSIVE</w:t>
            </w:r>
          </w:p>
          <w:p w:rsidR="00A62649" w:rsidRDefault="00A62649" w:rsidP="00702644">
            <w:pPr>
              <w:rPr>
                <w:rFonts w:ascii="Times New Roman" w:hAnsi="Times New Roman"/>
              </w:rPr>
            </w:pPr>
            <w:r>
              <w:rPr>
                <w:rFonts w:ascii="Times New Roman" w:hAnsi="Times New Roman"/>
              </w:rPr>
              <w:t>(State A employs sword)</w:t>
            </w:r>
          </w:p>
        </w:tc>
      </w:tr>
      <w:tr w:rsidR="00A62649" w:rsidTr="00702644">
        <w:tc>
          <w:tcPr>
            <w:tcW w:w="2365" w:type="dxa"/>
            <w:tcBorders>
              <w:top w:val="single" w:sz="4" w:space="0" w:color="auto"/>
              <w:left w:val="single" w:sz="4" w:space="0" w:color="auto"/>
              <w:bottom w:val="single" w:sz="4" w:space="0" w:color="auto"/>
              <w:right w:val="single" w:sz="4" w:space="0" w:color="auto"/>
            </w:tcBorders>
            <w:hideMark/>
          </w:tcPr>
          <w:p w:rsidR="00A62649" w:rsidRDefault="00A62649" w:rsidP="00702644">
            <w:pPr>
              <w:rPr>
                <w:rFonts w:ascii="Times New Roman" w:hAnsi="Times New Roman"/>
                <w:b/>
              </w:rPr>
            </w:pPr>
            <w:r>
              <w:rPr>
                <w:rFonts w:ascii="Times New Roman" w:hAnsi="Times New Roman"/>
                <w:b/>
              </w:rPr>
              <w:t>BILATERAL</w:t>
            </w:r>
          </w:p>
          <w:p w:rsidR="00A62649" w:rsidRDefault="00A62649" w:rsidP="00702644">
            <w:pPr>
              <w:rPr>
                <w:b/>
              </w:rPr>
            </w:pPr>
            <w:r>
              <w:rPr>
                <w:rFonts w:ascii="Times New Roman" w:hAnsi="Times New Roman"/>
              </w:rPr>
              <w:t>(State A seeks to influence or defend against choices of State B)</w:t>
            </w:r>
          </w:p>
        </w:tc>
        <w:tc>
          <w:tcPr>
            <w:tcW w:w="3701" w:type="dxa"/>
            <w:tcBorders>
              <w:top w:val="single" w:sz="4" w:space="0" w:color="auto"/>
              <w:left w:val="single" w:sz="4" w:space="0" w:color="auto"/>
              <w:bottom w:val="single" w:sz="4" w:space="0" w:color="auto"/>
              <w:right w:val="single" w:sz="4" w:space="0" w:color="auto"/>
            </w:tcBorders>
          </w:tcPr>
          <w:p w:rsidR="00A62649" w:rsidRDefault="00A62649" w:rsidP="00702644">
            <w:pPr>
              <w:rPr>
                <w:rFonts w:ascii="Times New Roman" w:hAnsi="Times New Roman"/>
              </w:rPr>
            </w:pPr>
            <w:r>
              <w:rPr>
                <w:rFonts w:ascii="Times New Roman" w:hAnsi="Times New Roman"/>
                <w:u w:val="single"/>
              </w:rPr>
              <w:t>Financial</w:t>
            </w:r>
          </w:p>
          <w:p w:rsidR="00A62649" w:rsidRDefault="00A62649" w:rsidP="00702644">
            <w:pPr>
              <w:rPr>
                <w:rFonts w:ascii="Times New Roman" w:hAnsi="Times New Roman"/>
              </w:rPr>
            </w:pPr>
            <w:r>
              <w:rPr>
                <w:rFonts w:ascii="Times New Roman" w:hAnsi="Times New Roman"/>
              </w:rPr>
              <w:t>* Nationalize FDI</w:t>
            </w:r>
          </w:p>
          <w:p w:rsidR="00A62649" w:rsidRDefault="00A62649" w:rsidP="00702644">
            <w:pPr>
              <w:rPr>
                <w:rFonts w:ascii="Times New Roman" w:hAnsi="Times New Roman"/>
              </w:rPr>
            </w:pPr>
            <w:r>
              <w:rPr>
                <w:rFonts w:ascii="Times New Roman" w:hAnsi="Times New Roman"/>
              </w:rPr>
              <w:t>* Default/reschedule foreign debt</w:t>
            </w:r>
          </w:p>
          <w:p w:rsidR="00A62649" w:rsidRDefault="00A62649" w:rsidP="00702644">
            <w:pPr>
              <w:rPr>
                <w:rFonts w:ascii="Times New Roman" w:hAnsi="Times New Roman"/>
              </w:rPr>
            </w:pPr>
            <w:r>
              <w:rPr>
                <w:rFonts w:ascii="Times New Roman" w:hAnsi="Times New Roman"/>
              </w:rPr>
              <w:t>* Debtors’ “cartel”</w:t>
            </w:r>
          </w:p>
          <w:p w:rsidR="00A62649" w:rsidRDefault="00A62649" w:rsidP="00702644">
            <w:pPr>
              <w:rPr>
                <w:rFonts w:ascii="Times New Roman" w:hAnsi="Times New Roman"/>
              </w:rPr>
            </w:pPr>
          </w:p>
          <w:p w:rsidR="00A62649" w:rsidRDefault="00A62649" w:rsidP="00702644">
            <w:pPr>
              <w:rPr>
                <w:rFonts w:ascii="Times New Roman" w:hAnsi="Times New Roman"/>
              </w:rPr>
            </w:pPr>
            <w:r>
              <w:rPr>
                <w:rFonts w:ascii="Times New Roman" w:hAnsi="Times New Roman"/>
                <w:u w:val="single"/>
              </w:rPr>
              <w:t>Monetary</w:t>
            </w:r>
          </w:p>
          <w:p w:rsidR="00A62649" w:rsidRDefault="00A62649" w:rsidP="00702644">
            <w:pPr>
              <w:rPr>
                <w:rFonts w:ascii="Times New Roman" w:hAnsi="Times New Roman"/>
              </w:rPr>
            </w:pPr>
            <w:r>
              <w:rPr>
                <w:rFonts w:ascii="Times New Roman" w:hAnsi="Times New Roman"/>
              </w:rPr>
              <w:t>* Strategies to defend against the currency of a powerful neighbor (capital controls; dollarize)</w:t>
            </w:r>
          </w:p>
        </w:tc>
        <w:tc>
          <w:tcPr>
            <w:tcW w:w="3701" w:type="dxa"/>
            <w:tcBorders>
              <w:top w:val="single" w:sz="4" w:space="0" w:color="auto"/>
              <w:left w:val="single" w:sz="4" w:space="0" w:color="auto"/>
              <w:bottom w:val="single" w:sz="4" w:space="0" w:color="auto"/>
              <w:right w:val="single" w:sz="4" w:space="0" w:color="auto"/>
            </w:tcBorders>
          </w:tcPr>
          <w:p w:rsidR="00A62649" w:rsidRDefault="00A62649" w:rsidP="00702644">
            <w:pPr>
              <w:rPr>
                <w:rFonts w:ascii="Times New Roman" w:hAnsi="Times New Roman"/>
              </w:rPr>
            </w:pPr>
            <w:r>
              <w:rPr>
                <w:rFonts w:ascii="Times New Roman" w:hAnsi="Times New Roman"/>
                <w:u w:val="single"/>
              </w:rPr>
              <w:t>Financial</w:t>
            </w:r>
          </w:p>
          <w:p w:rsidR="00A62649" w:rsidRDefault="00A62649" w:rsidP="00702644">
            <w:pPr>
              <w:rPr>
                <w:rFonts w:ascii="Times New Roman" w:hAnsi="Times New Roman"/>
              </w:rPr>
            </w:pPr>
            <w:r>
              <w:rPr>
                <w:rFonts w:ascii="Times New Roman" w:hAnsi="Times New Roman"/>
              </w:rPr>
              <w:t>* Sanctions (freeze target’s financial assets held abroad; withhold new loans)</w:t>
            </w:r>
          </w:p>
          <w:p w:rsidR="00A62649" w:rsidRDefault="00A62649" w:rsidP="00702644">
            <w:pPr>
              <w:rPr>
                <w:rFonts w:ascii="Times New Roman" w:hAnsi="Times New Roman"/>
              </w:rPr>
            </w:pPr>
            <w:r>
              <w:rPr>
                <w:rFonts w:ascii="Times New Roman" w:hAnsi="Times New Roman"/>
              </w:rPr>
              <w:t>* Bribes (loans or aid to induce target to adopt policies such as trade liberalization or UN votes)</w:t>
            </w:r>
          </w:p>
          <w:p w:rsidR="00A62649" w:rsidRDefault="00A62649" w:rsidP="00702644">
            <w:pPr>
              <w:rPr>
                <w:rFonts w:ascii="Times New Roman" w:hAnsi="Times New Roman"/>
              </w:rPr>
            </w:pPr>
          </w:p>
          <w:p w:rsidR="00A62649" w:rsidRDefault="00A62649" w:rsidP="00702644">
            <w:pPr>
              <w:rPr>
                <w:rFonts w:ascii="Times New Roman" w:hAnsi="Times New Roman"/>
              </w:rPr>
            </w:pPr>
            <w:r>
              <w:rPr>
                <w:rFonts w:ascii="Times New Roman" w:hAnsi="Times New Roman"/>
                <w:u w:val="single"/>
              </w:rPr>
              <w:t>Monetary</w:t>
            </w:r>
          </w:p>
          <w:p w:rsidR="00A62649" w:rsidRDefault="00A62649" w:rsidP="00702644">
            <w:pPr>
              <w:rPr>
                <w:rFonts w:ascii="Times New Roman" w:hAnsi="Times New Roman"/>
              </w:rPr>
            </w:pPr>
            <w:r>
              <w:rPr>
                <w:rFonts w:ascii="Times New Roman" w:hAnsi="Times New Roman"/>
              </w:rPr>
              <w:t>* Manipulate exchange rate to oblige target to adjust to payments imbalances (“power to deflect”)</w:t>
            </w:r>
          </w:p>
        </w:tc>
      </w:tr>
      <w:tr w:rsidR="00A62649" w:rsidTr="00702644">
        <w:tc>
          <w:tcPr>
            <w:tcW w:w="2365" w:type="dxa"/>
            <w:tcBorders>
              <w:top w:val="single" w:sz="4" w:space="0" w:color="auto"/>
              <w:left w:val="single" w:sz="4" w:space="0" w:color="auto"/>
              <w:bottom w:val="single" w:sz="4" w:space="0" w:color="auto"/>
              <w:right w:val="single" w:sz="4" w:space="0" w:color="auto"/>
            </w:tcBorders>
            <w:hideMark/>
          </w:tcPr>
          <w:p w:rsidR="00A62649" w:rsidRDefault="00A62649" w:rsidP="00702644">
            <w:pPr>
              <w:rPr>
                <w:rFonts w:ascii="Times New Roman" w:hAnsi="Times New Roman"/>
                <w:b/>
              </w:rPr>
            </w:pPr>
            <w:r>
              <w:rPr>
                <w:rFonts w:ascii="Times New Roman" w:hAnsi="Times New Roman"/>
                <w:b/>
              </w:rPr>
              <w:t>SYSTEMIC</w:t>
            </w:r>
          </w:p>
          <w:p w:rsidR="00A62649" w:rsidRDefault="00A62649" w:rsidP="00702644">
            <w:pPr>
              <w:rPr>
                <w:b/>
              </w:rPr>
            </w:pPr>
            <w:r>
              <w:rPr>
                <w:rFonts w:ascii="Times New Roman" w:hAnsi="Times New Roman"/>
              </w:rPr>
              <w:t>(State A aims to influence or defend against world markets or global governance regimes)</w:t>
            </w:r>
          </w:p>
        </w:tc>
        <w:tc>
          <w:tcPr>
            <w:tcW w:w="3701" w:type="dxa"/>
            <w:tcBorders>
              <w:top w:val="single" w:sz="4" w:space="0" w:color="auto"/>
              <w:left w:val="single" w:sz="4" w:space="0" w:color="auto"/>
              <w:bottom w:val="single" w:sz="4" w:space="0" w:color="auto"/>
              <w:right w:val="single" w:sz="4" w:space="0" w:color="auto"/>
            </w:tcBorders>
          </w:tcPr>
          <w:p w:rsidR="00A62649" w:rsidRDefault="00A62649" w:rsidP="00702644">
            <w:pPr>
              <w:rPr>
                <w:rFonts w:ascii="Times New Roman" w:hAnsi="Times New Roman"/>
              </w:rPr>
            </w:pPr>
            <w:r>
              <w:rPr>
                <w:rFonts w:ascii="Times New Roman" w:hAnsi="Times New Roman"/>
                <w:u w:val="single"/>
              </w:rPr>
              <w:t>Financial</w:t>
            </w:r>
          </w:p>
          <w:p w:rsidR="00A62649" w:rsidRDefault="00A62649" w:rsidP="00702644">
            <w:pPr>
              <w:rPr>
                <w:rFonts w:ascii="Times New Roman" w:hAnsi="Times New Roman"/>
              </w:rPr>
            </w:pPr>
            <w:r>
              <w:rPr>
                <w:rFonts w:ascii="Times New Roman" w:hAnsi="Times New Roman"/>
              </w:rPr>
              <w:t xml:space="preserve">* Diversify sources of foreign capital </w:t>
            </w:r>
          </w:p>
          <w:p w:rsidR="00A62649" w:rsidRDefault="00A62649" w:rsidP="00702644">
            <w:pPr>
              <w:rPr>
                <w:rFonts w:ascii="Times New Roman" w:hAnsi="Times New Roman"/>
              </w:rPr>
            </w:pPr>
            <w:r>
              <w:rPr>
                <w:rFonts w:ascii="Times New Roman" w:hAnsi="Times New Roman"/>
              </w:rPr>
              <w:t>* Financial “policy space” (public banks, capital controls)</w:t>
            </w:r>
          </w:p>
          <w:p w:rsidR="00A62649" w:rsidRDefault="00A62649" w:rsidP="00702644">
            <w:pPr>
              <w:rPr>
                <w:rFonts w:ascii="Times New Roman" w:hAnsi="Times New Roman"/>
              </w:rPr>
            </w:pPr>
            <w:r>
              <w:rPr>
                <w:rFonts w:ascii="Times New Roman" w:hAnsi="Times New Roman"/>
              </w:rPr>
              <w:t>* Promote multilateral banks</w:t>
            </w:r>
          </w:p>
          <w:p w:rsidR="00A62649" w:rsidRDefault="00A62649" w:rsidP="00702644">
            <w:pPr>
              <w:rPr>
                <w:rFonts w:ascii="Times New Roman" w:hAnsi="Times New Roman"/>
              </w:rPr>
            </w:pPr>
          </w:p>
          <w:p w:rsidR="00A62649" w:rsidRDefault="00A62649" w:rsidP="00702644">
            <w:pPr>
              <w:rPr>
                <w:rFonts w:ascii="Times New Roman" w:hAnsi="Times New Roman"/>
              </w:rPr>
            </w:pPr>
            <w:r>
              <w:rPr>
                <w:rFonts w:ascii="Times New Roman" w:hAnsi="Times New Roman"/>
                <w:u w:val="single"/>
              </w:rPr>
              <w:t>Monetary</w:t>
            </w:r>
          </w:p>
          <w:p w:rsidR="00A62649" w:rsidRDefault="00A62649" w:rsidP="00702644">
            <w:pPr>
              <w:rPr>
                <w:rFonts w:ascii="Times New Roman" w:hAnsi="Times New Roman"/>
              </w:rPr>
            </w:pPr>
            <w:r>
              <w:rPr>
                <w:rFonts w:ascii="Times New Roman" w:hAnsi="Times New Roman"/>
              </w:rPr>
              <w:t>* Reserve accumulation</w:t>
            </w:r>
          </w:p>
          <w:p w:rsidR="00A62649" w:rsidRDefault="00A62649" w:rsidP="00702644">
            <w:pPr>
              <w:rPr>
                <w:rFonts w:ascii="Times New Roman" w:hAnsi="Times New Roman"/>
              </w:rPr>
            </w:pPr>
            <w:r>
              <w:rPr>
                <w:rFonts w:ascii="Times New Roman" w:hAnsi="Times New Roman"/>
              </w:rPr>
              <w:t>* Promote regional, monetary fund</w:t>
            </w:r>
          </w:p>
          <w:p w:rsidR="00A62649" w:rsidRDefault="00A62649" w:rsidP="00702644">
            <w:pPr>
              <w:rPr>
                <w:rFonts w:ascii="Times New Roman" w:hAnsi="Times New Roman"/>
              </w:rPr>
            </w:pPr>
            <w:r>
              <w:rPr>
                <w:rFonts w:ascii="Times New Roman" w:hAnsi="Times New Roman"/>
              </w:rPr>
              <w:t>* Promote multiple reserve currencies</w:t>
            </w:r>
          </w:p>
          <w:p w:rsidR="00A62649" w:rsidRDefault="00A62649" w:rsidP="00702644">
            <w:pPr>
              <w:rPr>
                <w:rFonts w:ascii="Times New Roman" w:hAnsi="Times New Roman"/>
              </w:rPr>
            </w:pPr>
          </w:p>
          <w:p w:rsidR="00A62649" w:rsidRDefault="00A62649" w:rsidP="00702644">
            <w:pPr>
              <w:rPr>
                <w:rFonts w:ascii="Times New Roman" w:hAnsi="Times New Roman"/>
              </w:rPr>
            </w:pPr>
            <w:r>
              <w:rPr>
                <w:rFonts w:ascii="Times New Roman" w:hAnsi="Times New Roman"/>
                <w:u w:val="single"/>
              </w:rPr>
              <w:t>Both</w:t>
            </w:r>
          </w:p>
          <w:p w:rsidR="00A62649" w:rsidRDefault="00A62649" w:rsidP="00702644">
            <w:pPr>
              <w:rPr>
                <w:rFonts w:ascii="Times New Roman" w:hAnsi="Times New Roman"/>
              </w:rPr>
            </w:pPr>
            <w:r>
              <w:rPr>
                <w:rFonts w:ascii="Times New Roman" w:hAnsi="Times New Roman"/>
              </w:rPr>
              <w:t>* Seek greater voice in global financial &amp; monetary governance</w:t>
            </w:r>
          </w:p>
        </w:tc>
        <w:tc>
          <w:tcPr>
            <w:tcW w:w="3701" w:type="dxa"/>
            <w:tcBorders>
              <w:top w:val="single" w:sz="4" w:space="0" w:color="auto"/>
              <w:left w:val="single" w:sz="4" w:space="0" w:color="auto"/>
              <w:bottom w:val="single" w:sz="4" w:space="0" w:color="auto"/>
              <w:right w:val="single" w:sz="4" w:space="0" w:color="auto"/>
            </w:tcBorders>
          </w:tcPr>
          <w:p w:rsidR="00A62649" w:rsidRDefault="00A62649" w:rsidP="00702644">
            <w:pPr>
              <w:rPr>
                <w:rFonts w:ascii="Times New Roman" w:hAnsi="Times New Roman"/>
              </w:rPr>
            </w:pPr>
            <w:r>
              <w:rPr>
                <w:rFonts w:ascii="Times New Roman" w:hAnsi="Times New Roman"/>
                <w:u w:val="single"/>
              </w:rPr>
              <w:t>Financial</w:t>
            </w:r>
          </w:p>
          <w:p w:rsidR="00A62649" w:rsidRDefault="00A62649" w:rsidP="00702644">
            <w:pPr>
              <w:rPr>
                <w:rFonts w:ascii="Times New Roman" w:hAnsi="Times New Roman"/>
              </w:rPr>
            </w:pPr>
            <w:r>
              <w:rPr>
                <w:rFonts w:ascii="Times New Roman" w:hAnsi="Times New Roman"/>
              </w:rPr>
              <w:t>* Promote home financial markets as a source of global influence</w:t>
            </w:r>
          </w:p>
          <w:p w:rsidR="00A62649" w:rsidRDefault="00A62649" w:rsidP="00702644">
            <w:pPr>
              <w:rPr>
                <w:rFonts w:ascii="Times New Roman" w:hAnsi="Times New Roman"/>
              </w:rPr>
            </w:pPr>
          </w:p>
          <w:p w:rsidR="00A62649" w:rsidRDefault="00A62649" w:rsidP="00702644">
            <w:pPr>
              <w:rPr>
                <w:rFonts w:ascii="Times New Roman" w:hAnsi="Times New Roman"/>
              </w:rPr>
            </w:pPr>
            <w:r>
              <w:rPr>
                <w:rFonts w:ascii="Times New Roman" w:hAnsi="Times New Roman"/>
                <w:u w:val="single"/>
              </w:rPr>
              <w:t>Monetary</w:t>
            </w:r>
          </w:p>
          <w:p w:rsidR="00A62649" w:rsidRDefault="00A62649" w:rsidP="00702644">
            <w:pPr>
              <w:rPr>
                <w:rFonts w:ascii="Times New Roman" w:hAnsi="Times New Roman"/>
              </w:rPr>
            </w:pPr>
            <w:r>
              <w:rPr>
                <w:rFonts w:ascii="Times New Roman" w:hAnsi="Times New Roman"/>
              </w:rPr>
              <w:t>* Promote one’s currency as a global reserve or transactions currency (including as a means of avoiding BOP adjustment, aka “power to delay”)</w:t>
            </w:r>
          </w:p>
          <w:p w:rsidR="00A62649" w:rsidRDefault="00A62649" w:rsidP="00702644">
            <w:pPr>
              <w:rPr>
                <w:rFonts w:ascii="Times New Roman" w:hAnsi="Times New Roman"/>
                <w:u w:val="single"/>
              </w:rPr>
            </w:pPr>
          </w:p>
          <w:p w:rsidR="00A62649" w:rsidRDefault="00A62649" w:rsidP="00702644">
            <w:pPr>
              <w:rPr>
                <w:rFonts w:ascii="Times New Roman" w:hAnsi="Times New Roman"/>
              </w:rPr>
            </w:pPr>
            <w:r>
              <w:rPr>
                <w:rFonts w:ascii="Times New Roman" w:hAnsi="Times New Roman"/>
                <w:u w:val="single"/>
              </w:rPr>
              <w:t>Both</w:t>
            </w:r>
          </w:p>
          <w:p w:rsidR="00A62649" w:rsidRDefault="00A62649" w:rsidP="00702644">
            <w:pPr>
              <w:rPr>
                <w:b/>
              </w:rPr>
            </w:pPr>
            <w:r>
              <w:rPr>
                <w:rFonts w:ascii="Times New Roman" w:hAnsi="Times New Roman"/>
              </w:rPr>
              <w:t>* Construct institutions of global governance, giving oneself ongoing hegemonic or disproportionate influence</w:t>
            </w:r>
          </w:p>
        </w:tc>
      </w:tr>
    </w:tbl>
    <w:p w:rsidR="00A62649" w:rsidRDefault="00A62649" w:rsidP="00A62649">
      <w:pPr>
        <w:spacing w:line="480" w:lineRule="auto"/>
        <w:rPr>
          <w:b/>
        </w:rPr>
      </w:pPr>
    </w:p>
    <w:p w:rsidR="00A62649" w:rsidRDefault="00A62649" w:rsidP="00A62649">
      <w:r>
        <w:br w:type="page"/>
      </w:r>
    </w:p>
    <w:p w:rsidR="00A62649" w:rsidRPr="00794C6A" w:rsidRDefault="00A62649" w:rsidP="00A62649">
      <w:pPr>
        <w:spacing w:line="480" w:lineRule="auto"/>
        <w:rPr>
          <w:b/>
        </w:rPr>
      </w:pPr>
      <w:r>
        <w:rPr>
          <w:b/>
        </w:rPr>
        <w:lastRenderedPageBreak/>
        <w:t>Endnotes</w:t>
      </w:r>
    </w:p>
    <w:p w:rsidR="00A62649" w:rsidRDefault="00A62649" w:rsidP="00A62649">
      <w:pPr>
        <w:spacing w:line="480" w:lineRule="auto"/>
      </w:pPr>
    </w:p>
    <w:p w:rsidR="00917266" w:rsidRDefault="00917266"/>
    <w:sectPr w:rsidR="00917266">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39" w:rsidRDefault="006B5539" w:rsidP="00A62649">
      <w:r>
        <w:separator/>
      </w:r>
    </w:p>
  </w:endnote>
  <w:endnote w:type="continuationSeparator" w:id="0">
    <w:p w:rsidR="006B5539" w:rsidRDefault="006B5539" w:rsidP="00A62649">
      <w:r>
        <w:continuationSeparator/>
      </w:r>
    </w:p>
  </w:endnote>
  <w:endnote w:id="1">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Important works on economic statecraft include those by </w:t>
      </w:r>
      <w:proofErr w:type="spellStart"/>
      <w:r w:rsidRPr="00710FA1">
        <w:rPr>
          <w:sz w:val="24"/>
          <w:szCs w:val="24"/>
        </w:rPr>
        <w:t>Mastanduno</w:t>
      </w:r>
      <w:proofErr w:type="spellEnd"/>
      <w:r w:rsidRPr="00710FA1">
        <w:rPr>
          <w:sz w:val="24"/>
          <w:szCs w:val="24"/>
        </w:rPr>
        <w:t xml:space="preserve"> (1998), Drury (1998), </w:t>
      </w:r>
      <w:proofErr w:type="spellStart"/>
      <w:r w:rsidRPr="00710FA1">
        <w:rPr>
          <w:sz w:val="24"/>
          <w:szCs w:val="24"/>
        </w:rPr>
        <w:t>Pape</w:t>
      </w:r>
      <w:proofErr w:type="spellEnd"/>
      <w:r w:rsidRPr="00710FA1">
        <w:rPr>
          <w:sz w:val="24"/>
          <w:szCs w:val="24"/>
        </w:rPr>
        <w:t xml:space="preserve"> (1997), </w:t>
      </w:r>
      <w:proofErr w:type="spellStart"/>
      <w:r w:rsidRPr="00710FA1">
        <w:rPr>
          <w:sz w:val="24"/>
          <w:szCs w:val="24"/>
        </w:rPr>
        <w:t>Drezner</w:t>
      </w:r>
      <w:proofErr w:type="spellEnd"/>
      <w:r w:rsidRPr="00710FA1">
        <w:rPr>
          <w:sz w:val="24"/>
          <w:szCs w:val="24"/>
        </w:rPr>
        <w:t xml:space="preserve"> (1999, 2003), </w:t>
      </w:r>
      <w:proofErr w:type="spellStart"/>
      <w:r w:rsidRPr="00710FA1">
        <w:rPr>
          <w:sz w:val="24"/>
          <w:szCs w:val="24"/>
        </w:rPr>
        <w:t>Hufbauer</w:t>
      </w:r>
      <w:proofErr w:type="spellEnd"/>
      <w:r w:rsidRPr="00710FA1">
        <w:rPr>
          <w:sz w:val="24"/>
          <w:szCs w:val="24"/>
        </w:rPr>
        <w:t xml:space="preserve">, Schott, and Elliott (1990), and </w:t>
      </w:r>
      <w:proofErr w:type="spellStart"/>
      <w:r w:rsidRPr="00710FA1">
        <w:rPr>
          <w:sz w:val="24"/>
          <w:szCs w:val="24"/>
        </w:rPr>
        <w:t>Cortright</w:t>
      </w:r>
      <w:proofErr w:type="spellEnd"/>
      <w:r w:rsidRPr="00710FA1">
        <w:rPr>
          <w:sz w:val="24"/>
          <w:szCs w:val="24"/>
        </w:rPr>
        <w:t xml:space="preserve"> and Lopez (2002). Blanchard and </w:t>
      </w:r>
      <w:proofErr w:type="spellStart"/>
      <w:r w:rsidRPr="00710FA1">
        <w:rPr>
          <w:sz w:val="24"/>
          <w:szCs w:val="24"/>
        </w:rPr>
        <w:t>Ripsman</w:t>
      </w:r>
      <w:proofErr w:type="spellEnd"/>
      <w:r w:rsidRPr="00710FA1">
        <w:rPr>
          <w:sz w:val="24"/>
          <w:szCs w:val="24"/>
        </w:rPr>
        <w:t xml:space="preserve"> (2008) critique this literature.  </w:t>
      </w:r>
    </w:p>
  </w:endnote>
  <w:endnote w:id="2">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Reinhart and </w:t>
      </w:r>
      <w:proofErr w:type="spellStart"/>
      <w:r w:rsidRPr="00710FA1">
        <w:rPr>
          <w:sz w:val="24"/>
          <w:szCs w:val="24"/>
        </w:rPr>
        <w:t>Rogoff</w:t>
      </w:r>
      <w:proofErr w:type="spellEnd"/>
      <w:r w:rsidRPr="00710FA1">
        <w:rPr>
          <w:sz w:val="24"/>
          <w:szCs w:val="24"/>
        </w:rPr>
        <w:t xml:space="preserve"> (2011, 348-394, Appendix Table 4.1) </w:t>
      </w:r>
      <w:r>
        <w:rPr>
          <w:sz w:val="24"/>
          <w:szCs w:val="24"/>
        </w:rPr>
        <w:t xml:space="preserve">provide </w:t>
      </w:r>
      <w:r w:rsidRPr="00710FA1">
        <w:rPr>
          <w:sz w:val="24"/>
          <w:szCs w:val="24"/>
        </w:rPr>
        <w:t>a list of financial crises.</w:t>
      </w:r>
    </w:p>
  </w:endnote>
  <w:endnote w:id="3">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Interview October 2010, Berlin, with Peruvian former senior debt negotiator.</w:t>
      </w:r>
    </w:p>
  </w:endnote>
  <w:endnote w:id="4">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We tentatively code this episode “bilateral” in that it was directed at coercing specific foreign creditors, rather than systemic reform, but acknowledge there is some ambiguity.</w:t>
      </w:r>
    </w:p>
  </w:endnote>
  <w:endnote w:id="5">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The definition of SWF varies, but generally it is “a government investment vehicle which is funded by foreign exchange assets, and which manages these assets separately from official reserves.”  http://www.morganstanley.com/views/gef/archive/2007/20071026-Fri.html</w:t>
      </w:r>
    </w:p>
  </w:endnote>
  <w:endnote w:id="6">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In 2012, China’s three largest SWFs managed $1,142 billion worth of assets.  Data source: Global Finance, “Largest SWFs -- 2012 ranking” </w:t>
      </w:r>
      <w:hyperlink r:id="rId1" w:anchor="axzz2fZ20us2Q" w:history="1">
        <w:r w:rsidRPr="00710FA1">
          <w:rPr>
            <w:rStyle w:val="Hyperlink"/>
            <w:sz w:val="24"/>
            <w:szCs w:val="24"/>
          </w:rPr>
          <w:t>http://www.gfmag.com/tools/global-database/economic-data/12146-largest-sovereign-wealth-funds.html#axzz2fZ20us2Q</w:t>
        </w:r>
      </w:hyperlink>
    </w:p>
  </w:endnote>
  <w:endnote w:id="7">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In all four countries</w:t>
      </w:r>
      <w:r>
        <w:rPr>
          <w:sz w:val="24"/>
          <w:szCs w:val="24"/>
        </w:rPr>
        <w:t>,</w:t>
      </w:r>
      <w:r w:rsidRPr="00710FA1">
        <w:rPr>
          <w:sz w:val="24"/>
          <w:szCs w:val="24"/>
        </w:rPr>
        <w:t xml:space="preserve"> the 2008 ratio of total domestic financial system assets (bank deposits plus stock and bond market capitalization) to GDP was between 3.0 and 3.6 percent (Beck and </w:t>
      </w:r>
      <w:proofErr w:type="spellStart"/>
      <w:r w:rsidRPr="00710FA1">
        <w:rPr>
          <w:sz w:val="24"/>
          <w:szCs w:val="24"/>
        </w:rPr>
        <w:t>Demirguc-Kunt</w:t>
      </w:r>
      <w:proofErr w:type="spellEnd"/>
      <w:r w:rsidRPr="00710FA1">
        <w:rPr>
          <w:sz w:val="24"/>
          <w:szCs w:val="24"/>
        </w:rPr>
        <w:t xml:space="preserve"> 2009).</w:t>
      </w:r>
    </w:p>
  </w:endnote>
  <w:endnote w:id="8">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Zhou, </w:t>
      </w:r>
      <w:proofErr w:type="spellStart"/>
      <w:r w:rsidRPr="00710FA1">
        <w:rPr>
          <w:sz w:val="24"/>
          <w:szCs w:val="24"/>
        </w:rPr>
        <w:t>Xiaochuan</w:t>
      </w:r>
      <w:proofErr w:type="spellEnd"/>
      <w:r w:rsidRPr="00710FA1">
        <w:rPr>
          <w:sz w:val="24"/>
          <w:szCs w:val="24"/>
        </w:rPr>
        <w:t>. 2009. “Reform the International Monetary System.” Available at http://www.pbc.gov.cn/english//detail.asp?col=6500&amp;ID=178</w:t>
      </w:r>
    </w:p>
  </w:endnote>
  <w:endnote w:id="9">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These swaps have been extended to Argentina, Belarus, Hong Kong, Indonesia, Malaysia, and South Korea.</w:t>
      </w:r>
    </w:p>
  </w:endnote>
  <w:endnote w:id="10">
    <w:p w:rsidR="00A62649" w:rsidRPr="00710FA1" w:rsidRDefault="00A62649" w:rsidP="00A62649">
      <w:pPr>
        <w:pStyle w:val="EndnoteText"/>
        <w:tabs>
          <w:tab w:val="left" w:pos="837"/>
        </w:tabs>
        <w:spacing w:line="480" w:lineRule="auto"/>
        <w:rPr>
          <w:sz w:val="24"/>
          <w:szCs w:val="24"/>
        </w:rPr>
      </w:pPr>
      <w:r w:rsidRPr="00710FA1">
        <w:rPr>
          <w:rStyle w:val="EndnoteReference"/>
          <w:sz w:val="24"/>
          <w:szCs w:val="24"/>
        </w:rPr>
        <w:endnoteRef/>
      </w:r>
      <w:r w:rsidRPr="00710FA1">
        <w:rPr>
          <w:sz w:val="24"/>
          <w:szCs w:val="24"/>
        </w:rPr>
        <w:t xml:space="preserve"> The First summit was held in Yekaterinburg, Russia in June 2009.  Since then, the national leaders have met in Brasilia, Brazil (April 2010), Hainan, China (April 2011), and in New Delhi, India (March 29, 2012). </w:t>
      </w:r>
    </w:p>
  </w:endnote>
  <w:endnote w:id="11">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As of December of 2010, China and Japan combined held about one third of  the $4.5 trillion treasury securities held by foreigners (http://www.treasury.gov/resource-center/data-chart-center/tic/Documents/mfh.txt)</w:t>
      </w:r>
    </w:p>
  </w:endnote>
  <w:endnote w:id="12">
    <w:p w:rsidR="00A62649" w:rsidRPr="00710FA1" w:rsidRDefault="00A62649" w:rsidP="00A62649">
      <w:pPr>
        <w:pStyle w:val="EndnoteText"/>
        <w:spacing w:line="480" w:lineRule="auto"/>
        <w:rPr>
          <w:sz w:val="24"/>
          <w:szCs w:val="24"/>
        </w:rPr>
      </w:pPr>
      <w:r w:rsidRPr="00710FA1">
        <w:rPr>
          <w:rStyle w:val="EndnoteReference"/>
          <w:sz w:val="24"/>
          <w:szCs w:val="24"/>
        </w:rPr>
        <w:endnoteRef/>
      </w:r>
      <w:r w:rsidRPr="00710FA1">
        <w:rPr>
          <w:sz w:val="24"/>
          <w:szCs w:val="24"/>
        </w:rPr>
        <w:t xml:space="preserve"> The irony was that during the crisis, risk capital still flocked to dollar-denominated assets.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5B" w:rsidRDefault="006B5539">
    <w:pPr>
      <w:pStyle w:val="Footer"/>
      <w:jc w:val="center"/>
    </w:pPr>
    <w:r>
      <w:fldChar w:fldCharType="begin"/>
    </w:r>
    <w:r>
      <w:instrText xml:space="preserve"> PAGE   \* MERGEFORMAT </w:instrText>
    </w:r>
    <w:r>
      <w:fldChar w:fldCharType="separate"/>
    </w:r>
    <w:r w:rsidR="008B53DF">
      <w:rPr>
        <w:noProof/>
      </w:rPr>
      <w:t>1</w:t>
    </w:r>
    <w:r>
      <w:rPr>
        <w:noProof/>
      </w:rPr>
      <w:fldChar w:fldCharType="end"/>
    </w:r>
  </w:p>
  <w:p w:rsidR="00FB785B" w:rsidRDefault="006B5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39" w:rsidRDefault="006B5539" w:rsidP="00A62649">
      <w:r>
        <w:separator/>
      </w:r>
    </w:p>
  </w:footnote>
  <w:footnote w:type="continuationSeparator" w:id="0">
    <w:p w:rsidR="006B5539" w:rsidRDefault="006B5539" w:rsidP="00A62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ABE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2F1504"/>
    <w:multiLevelType w:val="hybridMultilevel"/>
    <w:tmpl w:val="E872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B0D35"/>
    <w:multiLevelType w:val="hybridMultilevel"/>
    <w:tmpl w:val="CDC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F4232"/>
    <w:multiLevelType w:val="hybridMultilevel"/>
    <w:tmpl w:val="62CE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9"/>
    <w:rsid w:val="00482EC6"/>
    <w:rsid w:val="006B5539"/>
    <w:rsid w:val="008B53DF"/>
    <w:rsid w:val="00917266"/>
    <w:rsid w:val="00A62649"/>
    <w:rsid w:val="00D65739"/>
    <w:rsid w:val="00F5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49"/>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49"/>
    <w:pPr>
      <w:spacing w:after="200" w:line="276" w:lineRule="auto"/>
      <w:ind w:left="720"/>
      <w:contextualSpacing/>
    </w:pPr>
    <w:rPr>
      <w:rFonts w:ascii="Calibri" w:eastAsia="MS Mincho" w:hAnsi="Calibri"/>
      <w:sz w:val="22"/>
      <w:szCs w:val="22"/>
      <w:lang w:eastAsia="ja-JP"/>
    </w:rPr>
  </w:style>
  <w:style w:type="paragraph" w:styleId="FootnoteText">
    <w:name w:val="footnote text"/>
    <w:basedOn w:val="Normal"/>
    <w:link w:val="FootnoteTextChar"/>
    <w:uiPriority w:val="99"/>
    <w:semiHidden/>
    <w:unhideWhenUsed/>
    <w:rsid w:val="00A62649"/>
    <w:rPr>
      <w:rFonts w:ascii="Calibri" w:hAnsi="Calibri"/>
      <w:sz w:val="20"/>
      <w:szCs w:val="20"/>
    </w:rPr>
  </w:style>
  <w:style w:type="character" w:customStyle="1" w:styleId="FootnoteTextChar">
    <w:name w:val="Footnote Text Char"/>
    <w:basedOn w:val="DefaultParagraphFont"/>
    <w:link w:val="FootnoteText"/>
    <w:uiPriority w:val="99"/>
    <w:semiHidden/>
    <w:rsid w:val="00A62649"/>
    <w:rPr>
      <w:rFonts w:ascii="Calibri" w:eastAsia="Calibri" w:hAnsi="Calibri" w:cs="Times New Roman"/>
      <w:sz w:val="20"/>
      <w:szCs w:val="20"/>
    </w:rPr>
  </w:style>
  <w:style w:type="character" w:styleId="FootnoteReference">
    <w:name w:val="footnote reference"/>
    <w:uiPriority w:val="99"/>
    <w:semiHidden/>
    <w:unhideWhenUsed/>
    <w:rsid w:val="00A62649"/>
    <w:rPr>
      <w:vertAlign w:val="superscript"/>
    </w:rPr>
  </w:style>
  <w:style w:type="paragraph" w:styleId="BalloonText">
    <w:name w:val="Balloon Text"/>
    <w:basedOn w:val="Normal"/>
    <w:link w:val="BalloonTextChar"/>
    <w:uiPriority w:val="99"/>
    <w:semiHidden/>
    <w:unhideWhenUsed/>
    <w:rsid w:val="00A62649"/>
    <w:rPr>
      <w:rFonts w:ascii="Tahoma" w:hAnsi="Tahoma" w:cs="Tahoma"/>
      <w:sz w:val="16"/>
      <w:szCs w:val="16"/>
    </w:rPr>
  </w:style>
  <w:style w:type="character" w:customStyle="1" w:styleId="BalloonTextChar">
    <w:name w:val="Balloon Text Char"/>
    <w:basedOn w:val="DefaultParagraphFont"/>
    <w:link w:val="BalloonText"/>
    <w:uiPriority w:val="99"/>
    <w:semiHidden/>
    <w:rsid w:val="00A62649"/>
    <w:rPr>
      <w:rFonts w:ascii="Tahoma" w:eastAsia="Calibri" w:hAnsi="Tahoma" w:cs="Tahoma"/>
      <w:sz w:val="16"/>
      <w:szCs w:val="16"/>
    </w:rPr>
  </w:style>
  <w:style w:type="paragraph" w:styleId="Header">
    <w:name w:val="header"/>
    <w:basedOn w:val="Normal"/>
    <w:link w:val="HeaderChar"/>
    <w:uiPriority w:val="99"/>
    <w:unhideWhenUsed/>
    <w:rsid w:val="00A62649"/>
    <w:pPr>
      <w:tabs>
        <w:tab w:val="center" w:pos="4680"/>
        <w:tab w:val="right" w:pos="9360"/>
      </w:tabs>
    </w:pPr>
  </w:style>
  <w:style w:type="character" w:customStyle="1" w:styleId="HeaderChar">
    <w:name w:val="Header Char"/>
    <w:basedOn w:val="DefaultParagraphFont"/>
    <w:link w:val="Header"/>
    <w:uiPriority w:val="99"/>
    <w:rsid w:val="00A62649"/>
    <w:rPr>
      <w:rFonts w:eastAsia="Calibri" w:cs="Times New Roman"/>
      <w:szCs w:val="24"/>
    </w:rPr>
  </w:style>
  <w:style w:type="paragraph" w:styleId="Footer">
    <w:name w:val="footer"/>
    <w:basedOn w:val="Normal"/>
    <w:link w:val="FooterChar"/>
    <w:uiPriority w:val="99"/>
    <w:unhideWhenUsed/>
    <w:rsid w:val="00A62649"/>
    <w:pPr>
      <w:tabs>
        <w:tab w:val="center" w:pos="4680"/>
        <w:tab w:val="right" w:pos="9360"/>
      </w:tabs>
    </w:pPr>
  </w:style>
  <w:style w:type="character" w:customStyle="1" w:styleId="FooterChar">
    <w:name w:val="Footer Char"/>
    <w:basedOn w:val="DefaultParagraphFont"/>
    <w:link w:val="Footer"/>
    <w:uiPriority w:val="99"/>
    <w:rsid w:val="00A62649"/>
    <w:rPr>
      <w:rFonts w:eastAsia="Calibri" w:cs="Times New Roman"/>
      <w:szCs w:val="24"/>
    </w:rPr>
  </w:style>
  <w:style w:type="character" w:styleId="CommentReference">
    <w:name w:val="annotation reference"/>
    <w:uiPriority w:val="99"/>
    <w:semiHidden/>
    <w:unhideWhenUsed/>
    <w:rsid w:val="00A62649"/>
    <w:rPr>
      <w:sz w:val="16"/>
      <w:szCs w:val="16"/>
    </w:rPr>
  </w:style>
  <w:style w:type="paragraph" w:styleId="CommentText">
    <w:name w:val="annotation text"/>
    <w:basedOn w:val="Normal"/>
    <w:link w:val="CommentTextChar"/>
    <w:uiPriority w:val="99"/>
    <w:semiHidden/>
    <w:unhideWhenUsed/>
    <w:rsid w:val="00A62649"/>
    <w:rPr>
      <w:sz w:val="20"/>
      <w:szCs w:val="20"/>
    </w:rPr>
  </w:style>
  <w:style w:type="character" w:customStyle="1" w:styleId="CommentTextChar">
    <w:name w:val="Comment Text Char"/>
    <w:basedOn w:val="DefaultParagraphFont"/>
    <w:link w:val="CommentText"/>
    <w:uiPriority w:val="99"/>
    <w:semiHidden/>
    <w:rsid w:val="00A6264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62649"/>
    <w:rPr>
      <w:b/>
      <w:bCs/>
    </w:rPr>
  </w:style>
  <w:style w:type="character" w:customStyle="1" w:styleId="CommentSubjectChar">
    <w:name w:val="Comment Subject Char"/>
    <w:basedOn w:val="CommentTextChar"/>
    <w:link w:val="CommentSubject"/>
    <w:uiPriority w:val="99"/>
    <w:semiHidden/>
    <w:rsid w:val="00A62649"/>
    <w:rPr>
      <w:rFonts w:eastAsia="Calibri" w:cs="Times New Roman"/>
      <w:b/>
      <w:bCs/>
      <w:sz w:val="20"/>
      <w:szCs w:val="20"/>
    </w:rPr>
  </w:style>
  <w:style w:type="character" w:styleId="Hyperlink">
    <w:name w:val="Hyperlink"/>
    <w:uiPriority w:val="99"/>
    <w:unhideWhenUsed/>
    <w:rsid w:val="00A62649"/>
    <w:rPr>
      <w:color w:val="0000FF"/>
      <w:u w:val="single"/>
    </w:rPr>
  </w:style>
  <w:style w:type="paragraph" w:styleId="NormalWeb">
    <w:name w:val="Normal (Web)"/>
    <w:basedOn w:val="Normal"/>
    <w:rsid w:val="00A62649"/>
    <w:pPr>
      <w:shd w:val="clear" w:color="auto" w:fill="FFFFFF"/>
      <w:spacing w:before="100" w:beforeAutospacing="1" w:after="100" w:afterAutospacing="1"/>
    </w:pPr>
    <w:rPr>
      <w:rFonts w:ascii="Arial" w:eastAsia="Times New Roman" w:hAnsi="Arial" w:cs="Arial"/>
      <w:color w:val="000000"/>
      <w:sz w:val="27"/>
      <w:szCs w:val="27"/>
    </w:rPr>
  </w:style>
  <w:style w:type="character" w:customStyle="1" w:styleId="textnew">
    <w:name w:val="textnew"/>
    <w:basedOn w:val="DefaultParagraphFont"/>
    <w:rsid w:val="00A62649"/>
  </w:style>
  <w:style w:type="table" w:styleId="TableGrid">
    <w:name w:val="Table Grid"/>
    <w:basedOn w:val="TableNormal"/>
    <w:uiPriority w:val="59"/>
    <w:rsid w:val="00A62649"/>
    <w:rPr>
      <w:rFonts w:asciiTheme="minorHAnsi" w:eastAsiaTheme="minorEastAsia" w:hAnsiTheme="minorHAns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2pt">
    <w:name w:val="Style 12 pt"/>
    <w:rsid w:val="00A62649"/>
    <w:rPr>
      <w:rFonts w:ascii="Times New Roman" w:hAnsi="Times New Roman"/>
      <w:sz w:val="24"/>
      <w:szCs w:val="24"/>
    </w:rPr>
  </w:style>
  <w:style w:type="paragraph" w:styleId="EndnoteText">
    <w:name w:val="endnote text"/>
    <w:basedOn w:val="Normal"/>
    <w:link w:val="EndnoteTextChar"/>
    <w:uiPriority w:val="99"/>
    <w:semiHidden/>
    <w:unhideWhenUsed/>
    <w:rsid w:val="00A62649"/>
    <w:rPr>
      <w:sz w:val="20"/>
      <w:szCs w:val="20"/>
    </w:rPr>
  </w:style>
  <w:style w:type="character" w:customStyle="1" w:styleId="EndnoteTextChar">
    <w:name w:val="Endnote Text Char"/>
    <w:basedOn w:val="DefaultParagraphFont"/>
    <w:link w:val="EndnoteText"/>
    <w:uiPriority w:val="99"/>
    <w:semiHidden/>
    <w:rsid w:val="00A62649"/>
    <w:rPr>
      <w:rFonts w:eastAsia="Calibri" w:cs="Times New Roman"/>
      <w:sz w:val="20"/>
      <w:szCs w:val="20"/>
    </w:rPr>
  </w:style>
  <w:style w:type="character" w:styleId="EndnoteReference">
    <w:name w:val="endnote reference"/>
    <w:basedOn w:val="DefaultParagraphFont"/>
    <w:uiPriority w:val="99"/>
    <w:semiHidden/>
    <w:unhideWhenUsed/>
    <w:rsid w:val="00A62649"/>
    <w:rPr>
      <w:vertAlign w:val="superscript"/>
    </w:rPr>
  </w:style>
  <w:style w:type="character" w:styleId="FollowedHyperlink">
    <w:name w:val="FollowedHyperlink"/>
    <w:basedOn w:val="DefaultParagraphFont"/>
    <w:uiPriority w:val="99"/>
    <w:semiHidden/>
    <w:unhideWhenUsed/>
    <w:rsid w:val="00A62649"/>
    <w:rPr>
      <w:color w:val="800080" w:themeColor="followedHyperlink"/>
      <w:u w:val="single"/>
    </w:rPr>
  </w:style>
  <w:style w:type="paragraph" w:styleId="Revision">
    <w:name w:val="Revision"/>
    <w:hidden/>
    <w:uiPriority w:val="99"/>
    <w:semiHidden/>
    <w:rsid w:val="00A62649"/>
    <w:rPr>
      <w:rFonts w:eastAsia="Calibri" w:cs="Times New Roman"/>
      <w:szCs w:val="24"/>
    </w:rPr>
  </w:style>
  <w:style w:type="paragraph" w:customStyle="1" w:styleId="Default">
    <w:name w:val="Default"/>
    <w:rsid w:val="00A62649"/>
    <w:pPr>
      <w:autoSpaceDE w:val="0"/>
      <w:autoSpaceDN w:val="0"/>
      <w:adjustRightInd w:val="0"/>
    </w:pPr>
    <w:rPr>
      <w:rFonts w:ascii="Arial" w:hAnsi="Arial" w:cs="Arial"/>
      <w:color w:val="000000"/>
      <w:szCs w:val="24"/>
    </w:rPr>
  </w:style>
  <w:style w:type="paragraph" w:styleId="ListBullet">
    <w:name w:val="List Bullet"/>
    <w:basedOn w:val="Normal"/>
    <w:uiPriority w:val="99"/>
    <w:unhideWhenUsed/>
    <w:rsid w:val="00A62649"/>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49"/>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49"/>
    <w:pPr>
      <w:spacing w:after="200" w:line="276" w:lineRule="auto"/>
      <w:ind w:left="720"/>
      <w:contextualSpacing/>
    </w:pPr>
    <w:rPr>
      <w:rFonts w:ascii="Calibri" w:eastAsia="MS Mincho" w:hAnsi="Calibri"/>
      <w:sz w:val="22"/>
      <w:szCs w:val="22"/>
      <w:lang w:eastAsia="ja-JP"/>
    </w:rPr>
  </w:style>
  <w:style w:type="paragraph" w:styleId="FootnoteText">
    <w:name w:val="footnote text"/>
    <w:basedOn w:val="Normal"/>
    <w:link w:val="FootnoteTextChar"/>
    <w:uiPriority w:val="99"/>
    <w:semiHidden/>
    <w:unhideWhenUsed/>
    <w:rsid w:val="00A62649"/>
    <w:rPr>
      <w:rFonts w:ascii="Calibri" w:hAnsi="Calibri"/>
      <w:sz w:val="20"/>
      <w:szCs w:val="20"/>
    </w:rPr>
  </w:style>
  <w:style w:type="character" w:customStyle="1" w:styleId="FootnoteTextChar">
    <w:name w:val="Footnote Text Char"/>
    <w:basedOn w:val="DefaultParagraphFont"/>
    <w:link w:val="FootnoteText"/>
    <w:uiPriority w:val="99"/>
    <w:semiHidden/>
    <w:rsid w:val="00A62649"/>
    <w:rPr>
      <w:rFonts w:ascii="Calibri" w:eastAsia="Calibri" w:hAnsi="Calibri" w:cs="Times New Roman"/>
      <w:sz w:val="20"/>
      <w:szCs w:val="20"/>
    </w:rPr>
  </w:style>
  <w:style w:type="character" w:styleId="FootnoteReference">
    <w:name w:val="footnote reference"/>
    <w:uiPriority w:val="99"/>
    <w:semiHidden/>
    <w:unhideWhenUsed/>
    <w:rsid w:val="00A62649"/>
    <w:rPr>
      <w:vertAlign w:val="superscript"/>
    </w:rPr>
  </w:style>
  <w:style w:type="paragraph" w:styleId="BalloonText">
    <w:name w:val="Balloon Text"/>
    <w:basedOn w:val="Normal"/>
    <w:link w:val="BalloonTextChar"/>
    <w:uiPriority w:val="99"/>
    <w:semiHidden/>
    <w:unhideWhenUsed/>
    <w:rsid w:val="00A62649"/>
    <w:rPr>
      <w:rFonts w:ascii="Tahoma" w:hAnsi="Tahoma" w:cs="Tahoma"/>
      <w:sz w:val="16"/>
      <w:szCs w:val="16"/>
    </w:rPr>
  </w:style>
  <w:style w:type="character" w:customStyle="1" w:styleId="BalloonTextChar">
    <w:name w:val="Balloon Text Char"/>
    <w:basedOn w:val="DefaultParagraphFont"/>
    <w:link w:val="BalloonText"/>
    <w:uiPriority w:val="99"/>
    <w:semiHidden/>
    <w:rsid w:val="00A62649"/>
    <w:rPr>
      <w:rFonts w:ascii="Tahoma" w:eastAsia="Calibri" w:hAnsi="Tahoma" w:cs="Tahoma"/>
      <w:sz w:val="16"/>
      <w:szCs w:val="16"/>
    </w:rPr>
  </w:style>
  <w:style w:type="paragraph" w:styleId="Header">
    <w:name w:val="header"/>
    <w:basedOn w:val="Normal"/>
    <w:link w:val="HeaderChar"/>
    <w:uiPriority w:val="99"/>
    <w:unhideWhenUsed/>
    <w:rsid w:val="00A62649"/>
    <w:pPr>
      <w:tabs>
        <w:tab w:val="center" w:pos="4680"/>
        <w:tab w:val="right" w:pos="9360"/>
      </w:tabs>
    </w:pPr>
  </w:style>
  <w:style w:type="character" w:customStyle="1" w:styleId="HeaderChar">
    <w:name w:val="Header Char"/>
    <w:basedOn w:val="DefaultParagraphFont"/>
    <w:link w:val="Header"/>
    <w:uiPriority w:val="99"/>
    <w:rsid w:val="00A62649"/>
    <w:rPr>
      <w:rFonts w:eastAsia="Calibri" w:cs="Times New Roman"/>
      <w:szCs w:val="24"/>
    </w:rPr>
  </w:style>
  <w:style w:type="paragraph" w:styleId="Footer">
    <w:name w:val="footer"/>
    <w:basedOn w:val="Normal"/>
    <w:link w:val="FooterChar"/>
    <w:uiPriority w:val="99"/>
    <w:unhideWhenUsed/>
    <w:rsid w:val="00A62649"/>
    <w:pPr>
      <w:tabs>
        <w:tab w:val="center" w:pos="4680"/>
        <w:tab w:val="right" w:pos="9360"/>
      </w:tabs>
    </w:pPr>
  </w:style>
  <w:style w:type="character" w:customStyle="1" w:styleId="FooterChar">
    <w:name w:val="Footer Char"/>
    <w:basedOn w:val="DefaultParagraphFont"/>
    <w:link w:val="Footer"/>
    <w:uiPriority w:val="99"/>
    <w:rsid w:val="00A62649"/>
    <w:rPr>
      <w:rFonts w:eastAsia="Calibri" w:cs="Times New Roman"/>
      <w:szCs w:val="24"/>
    </w:rPr>
  </w:style>
  <w:style w:type="character" w:styleId="CommentReference">
    <w:name w:val="annotation reference"/>
    <w:uiPriority w:val="99"/>
    <w:semiHidden/>
    <w:unhideWhenUsed/>
    <w:rsid w:val="00A62649"/>
    <w:rPr>
      <w:sz w:val="16"/>
      <w:szCs w:val="16"/>
    </w:rPr>
  </w:style>
  <w:style w:type="paragraph" w:styleId="CommentText">
    <w:name w:val="annotation text"/>
    <w:basedOn w:val="Normal"/>
    <w:link w:val="CommentTextChar"/>
    <w:uiPriority w:val="99"/>
    <w:semiHidden/>
    <w:unhideWhenUsed/>
    <w:rsid w:val="00A62649"/>
    <w:rPr>
      <w:sz w:val="20"/>
      <w:szCs w:val="20"/>
    </w:rPr>
  </w:style>
  <w:style w:type="character" w:customStyle="1" w:styleId="CommentTextChar">
    <w:name w:val="Comment Text Char"/>
    <w:basedOn w:val="DefaultParagraphFont"/>
    <w:link w:val="CommentText"/>
    <w:uiPriority w:val="99"/>
    <w:semiHidden/>
    <w:rsid w:val="00A6264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62649"/>
    <w:rPr>
      <w:b/>
      <w:bCs/>
    </w:rPr>
  </w:style>
  <w:style w:type="character" w:customStyle="1" w:styleId="CommentSubjectChar">
    <w:name w:val="Comment Subject Char"/>
    <w:basedOn w:val="CommentTextChar"/>
    <w:link w:val="CommentSubject"/>
    <w:uiPriority w:val="99"/>
    <w:semiHidden/>
    <w:rsid w:val="00A62649"/>
    <w:rPr>
      <w:rFonts w:eastAsia="Calibri" w:cs="Times New Roman"/>
      <w:b/>
      <w:bCs/>
      <w:sz w:val="20"/>
      <w:szCs w:val="20"/>
    </w:rPr>
  </w:style>
  <w:style w:type="character" w:styleId="Hyperlink">
    <w:name w:val="Hyperlink"/>
    <w:uiPriority w:val="99"/>
    <w:unhideWhenUsed/>
    <w:rsid w:val="00A62649"/>
    <w:rPr>
      <w:color w:val="0000FF"/>
      <w:u w:val="single"/>
    </w:rPr>
  </w:style>
  <w:style w:type="paragraph" w:styleId="NormalWeb">
    <w:name w:val="Normal (Web)"/>
    <w:basedOn w:val="Normal"/>
    <w:rsid w:val="00A62649"/>
    <w:pPr>
      <w:shd w:val="clear" w:color="auto" w:fill="FFFFFF"/>
      <w:spacing w:before="100" w:beforeAutospacing="1" w:after="100" w:afterAutospacing="1"/>
    </w:pPr>
    <w:rPr>
      <w:rFonts w:ascii="Arial" w:eastAsia="Times New Roman" w:hAnsi="Arial" w:cs="Arial"/>
      <w:color w:val="000000"/>
      <w:sz w:val="27"/>
      <w:szCs w:val="27"/>
    </w:rPr>
  </w:style>
  <w:style w:type="character" w:customStyle="1" w:styleId="textnew">
    <w:name w:val="textnew"/>
    <w:basedOn w:val="DefaultParagraphFont"/>
    <w:rsid w:val="00A62649"/>
  </w:style>
  <w:style w:type="table" w:styleId="TableGrid">
    <w:name w:val="Table Grid"/>
    <w:basedOn w:val="TableNormal"/>
    <w:uiPriority w:val="59"/>
    <w:rsid w:val="00A62649"/>
    <w:rPr>
      <w:rFonts w:asciiTheme="minorHAnsi" w:eastAsiaTheme="minorEastAsia" w:hAnsiTheme="minorHAns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2pt">
    <w:name w:val="Style 12 pt"/>
    <w:rsid w:val="00A62649"/>
    <w:rPr>
      <w:rFonts w:ascii="Times New Roman" w:hAnsi="Times New Roman"/>
      <w:sz w:val="24"/>
      <w:szCs w:val="24"/>
    </w:rPr>
  </w:style>
  <w:style w:type="paragraph" w:styleId="EndnoteText">
    <w:name w:val="endnote text"/>
    <w:basedOn w:val="Normal"/>
    <w:link w:val="EndnoteTextChar"/>
    <w:uiPriority w:val="99"/>
    <w:semiHidden/>
    <w:unhideWhenUsed/>
    <w:rsid w:val="00A62649"/>
    <w:rPr>
      <w:sz w:val="20"/>
      <w:szCs w:val="20"/>
    </w:rPr>
  </w:style>
  <w:style w:type="character" w:customStyle="1" w:styleId="EndnoteTextChar">
    <w:name w:val="Endnote Text Char"/>
    <w:basedOn w:val="DefaultParagraphFont"/>
    <w:link w:val="EndnoteText"/>
    <w:uiPriority w:val="99"/>
    <w:semiHidden/>
    <w:rsid w:val="00A62649"/>
    <w:rPr>
      <w:rFonts w:eastAsia="Calibri" w:cs="Times New Roman"/>
      <w:sz w:val="20"/>
      <w:szCs w:val="20"/>
    </w:rPr>
  </w:style>
  <w:style w:type="character" w:styleId="EndnoteReference">
    <w:name w:val="endnote reference"/>
    <w:basedOn w:val="DefaultParagraphFont"/>
    <w:uiPriority w:val="99"/>
    <w:semiHidden/>
    <w:unhideWhenUsed/>
    <w:rsid w:val="00A62649"/>
    <w:rPr>
      <w:vertAlign w:val="superscript"/>
    </w:rPr>
  </w:style>
  <w:style w:type="character" w:styleId="FollowedHyperlink">
    <w:name w:val="FollowedHyperlink"/>
    <w:basedOn w:val="DefaultParagraphFont"/>
    <w:uiPriority w:val="99"/>
    <w:semiHidden/>
    <w:unhideWhenUsed/>
    <w:rsid w:val="00A62649"/>
    <w:rPr>
      <w:color w:val="800080" w:themeColor="followedHyperlink"/>
      <w:u w:val="single"/>
    </w:rPr>
  </w:style>
  <w:style w:type="paragraph" w:styleId="Revision">
    <w:name w:val="Revision"/>
    <w:hidden/>
    <w:uiPriority w:val="99"/>
    <w:semiHidden/>
    <w:rsid w:val="00A62649"/>
    <w:rPr>
      <w:rFonts w:eastAsia="Calibri" w:cs="Times New Roman"/>
      <w:szCs w:val="24"/>
    </w:rPr>
  </w:style>
  <w:style w:type="paragraph" w:customStyle="1" w:styleId="Default">
    <w:name w:val="Default"/>
    <w:rsid w:val="00A62649"/>
    <w:pPr>
      <w:autoSpaceDE w:val="0"/>
      <w:autoSpaceDN w:val="0"/>
      <w:adjustRightInd w:val="0"/>
    </w:pPr>
    <w:rPr>
      <w:rFonts w:ascii="Arial" w:hAnsi="Arial" w:cs="Arial"/>
      <w:color w:val="000000"/>
      <w:szCs w:val="24"/>
    </w:rPr>
  </w:style>
  <w:style w:type="paragraph" w:styleId="ListBullet">
    <w:name w:val="List Bullet"/>
    <w:basedOn w:val="Normal"/>
    <w:uiPriority w:val="99"/>
    <w:unhideWhenUsed/>
    <w:rsid w:val="00A6264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finance.yahoo.com/news/argentina-asks-us-court-rehearing-185407695.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relatesofwar.org" TargetMode="External"/><Relationship Id="rId5" Type="http://schemas.openxmlformats.org/officeDocument/2006/relationships/webSettings" Target="webSettings.xml"/><Relationship Id="rId10" Type="http://schemas.openxmlformats.org/officeDocument/2006/relationships/hyperlink" Target="http://www.die-gdi.de/CMS-Homepage/openwebcms3.nsf/%28ynDK_contentByKey%29/ANES-8TFGBN/$FILE/E-Publication%20Volz.pdf" TargetMode="External"/><Relationship Id="rId4" Type="http://schemas.openxmlformats.org/officeDocument/2006/relationships/settings" Target="settings.xml"/><Relationship Id="rId9" Type="http://schemas.openxmlformats.org/officeDocument/2006/relationships/hyperlink" Target="http://www.voxeu.org/article/sovereign-wealth-funds-and-financial-stability"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gfmag.com/tools/global-database/economic-data/12146-largest-sovereign-wealth-f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10256</Words>
  <Characters>58461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2013-10-02T17:22:00Z</dcterms:created>
  <dcterms:modified xsi:type="dcterms:W3CDTF">2013-10-02T17:22:00Z</dcterms:modified>
</cp:coreProperties>
</file>